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2089" w:rsidRDefault="00C52089" w:rsidP="004A781E"/>
    <w:p w:rsidR="00C52089" w:rsidRDefault="00C52089" w:rsidP="00B470BA">
      <w:pPr>
        <w:jc w:val="both"/>
      </w:pPr>
      <w:r>
        <w:t>Siendo las 1</w:t>
      </w:r>
      <w:r w:rsidR="00237FBA">
        <w:t>5</w:t>
      </w:r>
      <w:r>
        <w:t>:</w:t>
      </w:r>
      <w:r w:rsidR="00237FBA">
        <w:t>3</w:t>
      </w:r>
      <w:r>
        <w:t xml:space="preserve">0 </w:t>
      </w:r>
      <w:proofErr w:type="spellStart"/>
      <w:r>
        <w:t>hrs</w:t>
      </w:r>
      <w:proofErr w:type="spellEnd"/>
      <w:r>
        <w:t xml:space="preserve"> del </w:t>
      </w:r>
      <w:r w:rsidR="00237FBA">
        <w:t>lunes</w:t>
      </w:r>
      <w:r w:rsidR="00454C63">
        <w:t xml:space="preserve"> </w:t>
      </w:r>
      <w:r w:rsidR="00237FBA">
        <w:t>23</w:t>
      </w:r>
      <w:r>
        <w:t xml:space="preserve"> de </w:t>
      </w:r>
      <w:r w:rsidR="004F4769">
        <w:t>septiembre</w:t>
      </w:r>
      <w:r>
        <w:t xml:space="preserve"> del 2019, se reunieron integrantes del Subgrupo de Base jurídica en la</w:t>
      </w:r>
      <w:r w:rsidR="00B470BA">
        <w:t xml:space="preserve"> sala de juntas del piso </w:t>
      </w:r>
      <w:r w:rsidR="006131ED">
        <w:t>11</w:t>
      </w:r>
      <w:r w:rsidR="00B470BA">
        <w:t xml:space="preserve"> </w:t>
      </w:r>
      <w:proofErr w:type="gramStart"/>
      <w:r w:rsidR="00B470BA">
        <w:t>ala</w:t>
      </w:r>
      <w:proofErr w:type="gramEnd"/>
      <w:r>
        <w:t xml:space="preserve"> “b” de la Secretaría de Agricultura y Desarrollo Rural.</w:t>
      </w:r>
    </w:p>
    <w:p w:rsidR="00C52089" w:rsidRDefault="00C52089" w:rsidP="004A781E">
      <w:r>
        <w:t>Estuvieron presentes los siguientes integrantes:</w:t>
      </w:r>
    </w:p>
    <w:p w:rsidR="00C52089" w:rsidRDefault="00C52089" w:rsidP="000C62BB">
      <w:pPr>
        <w:pStyle w:val="Prrafodelista"/>
        <w:numPr>
          <w:ilvl w:val="0"/>
          <w:numId w:val="6"/>
        </w:numPr>
      </w:pPr>
      <w:r>
        <w:t>Amalio Vargas Soto.</w:t>
      </w:r>
    </w:p>
    <w:p w:rsidR="00C52089" w:rsidRDefault="00C52089" w:rsidP="000C62BB">
      <w:pPr>
        <w:pStyle w:val="Prrafodelista"/>
        <w:numPr>
          <w:ilvl w:val="0"/>
          <w:numId w:val="6"/>
        </w:numPr>
      </w:pPr>
      <w:r>
        <w:t>Jaime Castillo Ulloa</w:t>
      </w:r>
    </w:p>
    <w:p w:rsidR="00454C63" w:rsidRDefault="00454C63" w:rsidP="000C62BB">
      <w:pPr>
        <w:pStyle w:val="Prrafodelista"/>
        <w:numPr>
          <w:ilvl w:val="0"/>
          <w:numId w:val="6"/>
        </w:numPr>
      </w:pPr>
      <w:r>
        <w:t>Catalina Rodríguez Mendoza.</w:t>
      </w:r>
    </w:p>
    <w:p w:rsidR="00C52089" w:rsidRDefault="00C52089" w:rsidP="000C62BB">
      <w:pPr>
        <w:pStyle w:val="Prrafodelista"/>
        <w:numPr>
          <w:ilvl w:val="0"/>
          <w:numId w:val="6"/>
        </w:numPr>
      </w:pPr>
      <w:r>
        <w:t>Antonio Zamora García</w:t>
      </w:r>
    </w:p>
    <w:p w:rsidR="00C52089" w:rsidRDefault="00C52089" w:rsidP="004A781E"/>
    <w:p w:rsidR="00C52089" w:rsidRPr="000C62BB" w:rsidRDefault="00C52089" w:rsidP="004A781E">
      <w:pPr>
        <w:rPr>
          <w:b/>
        </w:rPr>
      </w:pPr>
      <w:r w:rsidRPr="000C62BB">
        <w:rPr>
          <w:b/>
        </w:rPr>
        <w:t>Todos con un solo punto en la agenda:</w:t>
      </w:r>
    </w:p>
    <w:p w:rsidR="00C52089" w:rsidRDefault="00324399" w:rsidP="00B470BA">
      <w:pPr>
        <w:pStyle w:val="Prrafodelista"/>
        <w:numPr>
          <w:ilvl w:val="0"/>
          <w:numId w:val="1"/>
        </w:numPr>
        <w:jc w:val="both"/>
      </w:pPr>
      <w:r>
        <w:t>Continuar los trabajos para la ajustar la propuesta de estructura al Reglamento del Consejo Mexicano para el Desarrollo Rural Sustentable</w:t>
      </w:r>
      <w:r w:rsidR="00C52089">
        <w:t>.</w:t>
      </w:r>
    </w:p>
    <w:p w:rsidR="00237FBA" w:rsidRDefault="00237FBA" w:rsidP="00B470BA">
      <w:pPr>
        <w:pStyle w:val="Prrafodelista"/>
        <w:numPr>
          <w:ilvl w:val="0"/>
          <w:numId w:val="1"/>
        </w:numPr>
        <w:jc w:val="both"/>
      </w:pPr>
      <w:r>
        <w:t>Abordar la propuesta de modificaciones al capítulo de funciones del Reglamento del CMDRS presentada por el C. Amalio Vargas Soto.</w:t>
      </w:r>
    </w:p>
    <w:p w:rsidR="004A781E" w:rsidRDefault="004A781E" w:rsidP="00B470BA">
      <w:pPr>
        <w:pStyle w:val="Prrafodelista"/>
        <w:jc w:val="both"/>
      </w:pPr>
    </w:p>
    <w:p w:rsidR="00C52089" w:rsidRDefault="00324399">
      <w:r>
        <w:t xml:space="preserve">Al término de la reunión de trabajo el documento propuesta quedó como sigue: </w:t>
      </w:r>
    </w:p>
    <w:p w:rsidR="000C62BB" w:rsidRDefault="000C62BB">
      <w:pPr>
        <w:rPr>
          <w:b/>
          <w:sz w:val="36"/>
        </w:rPr>
      </w:pPr>
    </w:p>
    <w:p w:rsidR="00324399" w:rsidRPr="002A64AF" w:rsidRDefault="00324399" w:rsidP="00324399">
      <w:pPr>
        <w:rPr>
          <w:b/>
        </w:rPr>
      </w:pPr>
      <w:r w:rsidRPr="002A64AF">
        <w:rPr>
          <w:b/>
        </w:rPr>
        <w:t>Estructura propuesta.</w:t>
      </w:r>
    </w:p>
    <w:tbl>
      <w:tblPr>
        <w:tblStyle w:val="Tablaconcuadrcula"/>
        <w:tblW w:w="0" w:type="auto"/>
        <w:tblLook w:val="04A0" w:firstRow="1" w:lastRow="0" w:firstColumn="1" w:lastColumn="0" w:noHBand="0" w:noVBand="1"/>
      </w:tblPr>
      <w:tblGrid>
        <w:gridCol w:w="1980"/>
        <w:gridCol w:w="283"/>
        <w:gridCol w:w="6565"/>
      </w:tblGrid>
      <w:tr w:rsidR="004F4769" w:rsidTr="00B60AA7">
        <w:tc>
          <w:tcPr>
            <w:tcW w:w="1980" w:type="dxa"/>
            <w:tcBorders>
              <w:right w:val="single" w:sz="4" w:space="0" w:color="auto"/>
            </w:tcBorders>
          </w:tcPr>
          <w:p w:rsidR="004F4769" w:rsidRDefault="004F4769" w:rsidP="00B60AA7">
            <w:r>
              <w:t>Capítulo I</w:t>
            </w:r>
          </w:p>
        </w:tc>
        <w:tc>
          <w:tcPr>
            <w:tcW w:w="283" w:type="dxa"/>
            <w:tcBorders>
              <w:top w:val="nil"/>
              <w:left w:val="single" w:sz="4" w:space="0" w:color="auto"/>
              <w:bottom w:val="nil"/>
              <w:right w:val="single" w:sz="4" w:space="0" w:color="auto"/>
            </w:tcBorders>
            <w:shd w:val="clear" w:color="auto" w:fill="FFFFFF" w:themeFill="background1"/>
          </w:tcPr>
          <w:p w:rsidR="004F4769" w:rsidRDefault="004F4769" w:rsidP="00B60AA7"/>
        </w:tc>
        <w:tc>
          <w:tcPr>
            <w:tcW w:w="6565" w:type="dxa"/>
            <w:tcBorders>
              <w:left w:val="single" w:sz="4" w:space="0" w:color="auto"/>
            </w:tcBorders>
          </w:tcPr>
          <w:p w:rsidR="004F4769" w:rsidRDefault="004F4769" w:rsidP="00B60AA7">
            <w:r>
              <w:t>Naturaleza y Objeto del CMDRS.</w:t>
            </w:r>
          </w:p>
        </w:tc>
      </w:tr>
      <w:tr w:rsidR="004F4769" w:rsidRPr="00D577F0" w:rsidTr="00B60AA7">
        <w:tc>
          <w:tcPr>
            <w:tcW w:w="1980" w:type="dxa"/>
            <w:tcBorders>
              <w:right w:val="single" w:sz="4" w:space="0" w:color="auto"/>
            </w:tcBorders>
            <w:shd w:val="clear" w:color="auto" w:fill="BF8F00" w:themeFill="accent4" w:themeFillShade="BF"/>
          </w:tcPr>
          <w:p w:rsidR="004F4769" w:rsidRPr="00D577F0" w:rsidRDefault="004F4769" w:rsidP="00B60AA7">
            <w:pPr>
              <w:rPr>
                <w:b/>
                <w:color w:val="FFFFFF" w:themeColor="background1"/>
              </w:rPr>
            </w:pPr>
            <w:r w:rsidRPr="00D577F0">
              <w:rPr>
                <w:b/>
                <w:color w:val="FFFFFF" w:themeColor="background1"/>
              </w:rPr>
              <w:t>Capítulo II</w:t>
            </w:r>
          </w:p>
        </w:tc>
        <w:tc>
          <w:tcPr>
            <w:tcW w:w="283" w:type="dxa"/>
            <w:tcBorders>
              <w:top w:val="nil"/>
              <w:left w:val="single" w:sz="4" w:space="0" w:color="auto"/>
              <w:bottom w:val="nil"/>
              <w:right w:val="single" w:sz="4" w:space="0" w:color="auto"/>
            </w:tcBorders>
            <w:shd w:val="clear" w:color="auto" w:fill="FFFFFF" w:themeFill="background1"/>
          </w:tcPr>
          <w:p w:rsidR="004F4769" w:rsidRPr="00D577F0" w:rsidRDefault="004F4769" w:rsidP="00B60AA7">
            <w:pPr>
              <w:rPr>
                <w:b/>
                <w:color w:val="FFFFFF" w:themeColor="background1"/>
              </w:rPr>
            </w:pPr>
          </w:p>
        </w:tc>
        <w:tc>
          <w:tcPr>
            <w:tcW w:w="6565" w:type="dxa"/>
            <w:tcBorders>
              <w:left w:val="single" w:sz="4" w:space="0" w:color="auto"/>
            </w:tcBorders>
            <w:shd w:val="clear" w:color="auto" w:fill="BF8F00" w:themeFill="accent4" w:themeFillShade="BF"/>
          </w:tcPr>
          <w:p w:rsidR="004F4769" w:rsidRDefault="004F4769" w:rsidP="00B60AA7">
            <w:pPr>
              <w:rPr>
                <w:b/>
                <w:color w:val="FFFFFF" w:themeColor="background1"/>
              </w:rPr>
            </w:pPr>
            <w:r w:rsidRPr="00D577F0">
              <w:rPr>
                <w:b/>
                <w:color w:val="FFFFFF" w:themeColor="background1"/>
              </w:rPr>
              <w:t>De la estructura e integración del CMDRS</w:t>
            </w:r>
          </w:p>
          <w:p w:rsidR="004F4769" w:rsidRDefault="004F4769" w:rsidP="004F4769">
            <w:pPr>
              <w:pStyle w:val="Prrafodelista"/>
              <w:numPr>
                <w:ilvl w:val="0"/>
                <w:numId w:val="9"/>
              </w:numPr>
              <w:rPr>
                <w:b/>
                <w:color w:val="FFFFFF" w:themeColor="background1"/>
              </w:rPr>
            </w:pPr>
            <w:r w:rsidRPr="00CC5E17">
              <w:rPr>
                <w:b/>
                <w:color w:val="FFFFFF" w:themeColor="background1"/>
              </w:rPr>
              <w:t>Presidente.</w:t>
            </w:r>
          </w:p>
          <w:p w:rsidR="004F4769" w:rsidRDefault="004F4769" w:rsidP="004F4769">
            <w:pPr>
              <w:pStyle w:val="Prrafodelista"/>
              <w:numPr>
                <w:ilvl w:val="0"/>
                <w:numId w:val="9"/>
              </w:numPr>
              <w:rPr>
                <w:b/>
                <w:color w:val="FFFFFF" w:themeColor="background1"/>
              </w:rPr>
            </w:pPr>
            <w:r>
              <w:rPr>
                <w:b/>
                <w:color w:val="FFFFFF" w:themeColor="background1"/>
              </w:rPr>
              <w:t>Secretario  Técnico</w:t>
            </w:r>
          </w:p>
          <w:p w:rsidR="004F4769" w:rsidRDefault="004F4769" w:rsidP="004F4769">
            <w:pPr>
              <w:pStyle w:val="Prrafodelista"/>
              <w:numPr>
                <w:ilvl w:val="0"/>
                <w:numId w:val="9"/>
              </w:numPr>
              <w:rPr>
                <w:b/>
                <w:color w:val="FFFFFF" w:themeColor="background1"/>
              </w:rPr>
            </w:pPr>
            <w:r>
              <w:rPr>
                <w:b/>
                <w:color w:val="FFFFFF" w:themeColor="background1"/>
              </w:rPr>
              <w:t>Secretario Consejero</w:t>
            </w:r>
          </w:p>
          <w:p w:rsidR="004F4769" w:rsidRDefault="004F4769" w:rsidP="004F4769">
            <w:pPr>
              <w:pStyle w:val="Prrafodelista"/>
              <w:numPr>
                <w:ilvl w:val="0"/>
                <w:numId w:val="9"/>
              </w:numPr>
              <w:rPr>
                <w:b/>
                <w:color w:val="FFFFFF" w:themeColor="background1"/>
              </w:rPr>
            </w:pPr>
            <w:r>
              <w:rPr>
                <w:b/>
                <w:color w:val="FFFFFF" w:themeColor="background1"/>
              </w:rPr>
              <w:t>Coordinadores de Comisiones</w:t>
            </w:r>
          </w:p>
          <w:p w:rsidR="004F4769" w:rsidRPr="00CC5E17" w:rsidRDefault="004F4769" w:rsidP="004F4769">
            <w:pPr>
              <w:pStyle w:val="Prrafodelista"/>
              <w:numPr>
                <w:ilvl w:val="0"/>
                <w:numId w:val="9"/>
              </w:numPr>
              <w:rPr>
                <w:b/>
                <w:color w:val="FFFFFF" w:themeColor="background1"/>
              </w:rPr>
            </w:pPr>
            <w:r>
              <w:rPr>
                <w:b/>
                <w:color w:val="FFFFFF" w:themeColor="background1"/>
              </w:rPr>
              <w:t>Comité Consultivo Alimentario (24 bis de la LDRS).</w:t>
            </w:r>
          </w:p>
        </w:tc>
      </w:tr>
      <w:tr w:rsidR="004F4769" w:rsidTr="00B60AA7">
        <w:tc>
          <w:tcPr>
            <w:tcW w:w="1980" w:type="dxa"/>
            <w:tcBorders>
              <w:right w:val="single" w:sz="4" w:space="0" w:color="auto"/>
            </w:tcBorders>
          </w:tcPr>
          <w:p w:rsidR="004F4769" w:rsidRDefault="004F4769" w:rsidP="00B60AA7">
            <w:r>
              <w:t>Capitulo III</w:t>
            </w:r>
          </w:p>
        </w:tc>
        <w:tc>
          <w:tcPr>
            <w:tcW w:w="283" w:type="dxa"/>
            <w:tcBorders>
              <w:top w:val="nil"/>
              <w:left w:val="single" w:sz="4" w:space="0" w:color="auto"/>
              <w:bottom w:val="nil"/>
              <w:right w:val="single" w:sz="4" w:space="0" w:color="auto"/>
            </w:tcBorders>
            <w:shd w:val="clear" w:color="auto" w:fill="FFFFFF" w:themeFill="background1"/>
          </w:tcPr>
          <w:p w:rsidR="004F4769" w:rsidRDefault="004F4769" w:rsidP="00B60AA7"/>
        </w:tc>
        <w:tc>
          <w:tcPr>
            <w:tcW w:w="6565" w:type="dxa"/>
            <w:tcBorders>
              <w:left w:val="single" w:sz="4" w:space="0" w:color="auto"/>
            </w:tcBorders>
          </w:tcPr>
          <w:p w:rsidR="004F4769" w:rsidRDefault="004F4769" w:rsidP="00B60AA7">
            <w:r>
              <w:t>De las funciones del Consejo Mexicano en materia de:</w:t>
            </w:r>
          </w:p>
          <w:p w:rsidR="004F4769" w:rsidRPr="006131ED" w:rsidRDefault="004F4769" w:rsidP="004F4769">
            <w:pPr>
              <w:pStyle w:val="Prrafodelista"/>
              <w:numPr>
                <w:ilvl w:val="0"/>
                <w:numId w:val="7"/>
              </w:numPr>
              <w:rPr>
                <w:b/>
              </w:rPr>
            </w:pPr>
            <w:r w:rsidRPr="006131ED">
              <w:rPr>
                <w:b/>
              </w:rPr>
              <w:t>Tipología de productores.</w:t>
            </w:r>
          </w:p>
          <w:p w:rsidR="006131ED" w:rsidRPr="006131ED" w:rsidRDefault="006131ED" w:rsidP="006131ED">
            <w:pPr>
              <w:pStyle w:val="Prrafodelista"/>
              <w:numPr>
                <w:ilvl w:val="1"/>
                <w:numId w:val="7"/>
              </w:numPr>
              <w:rPr>
                <w:b/>
                <w:color w:val="2F5496" w:themeColor="accent5" w:themeShade="BF"/>
              </w:rPr>
            </w:pPr>
            <w:r w:rsidRPr="006131ED">
              <w:rPr>
                <w:b/>
                <w:color w:val="2F5496" w:themeColor="accent5" w:themeShade="BF"/>
              </w:rPr>
              <w:t>Establecer una tipología de productores y sujetos del desarrollo rural sustentable;</w:t>
            </w:r>
          </w:p>
          <w:p w:rsidR="004F4769" w:rsidRPr="006131ED" w:rsidRDefault="004F4769" w:rsidP="004F4769">
            <w:pPr>
              <w:pStyle w:val="Prrafodelista"/>
              <w:numPr>
                <w:ilvl w:val="0"/>
                <w:numId w:val="7"/>
              </w:numPr>
              <w:rPr>
                <w:b/>
              </w:rPr>
            </w:pPr>
            <w:r w:rsidRPr="006131ED">
              <w:rPr>
                <w:b/>
              </w:rPr>
              <w:t xml:space="preserve">De Planeación, programación y </w:t>
            </w:r>
            <w:proofErr w:type="spellStart"/>
            <w:r w:rsidRPr="006131ED">
              <w:rPr>
                <w:b/>
              </w:rPr>
              <w:t>presupuestación</w:t>
            </w:r>
            <w:proofErr w:type="spellEnd"/>
            <w:r w:rsidRPr="006131ED">
              <w:rPr>
                <w:b/>
              </w:rPr>
              <w:t>.</w:t>
            </w:r>
          </w:p>
          <w:p w:rsidR="006131ED" w:rsidRPr="006131ED" w:rsidRDefault="006131ED" w:rsidP="006131ED">
            <w:pPr>
              <w:pStyle w:val="Prrafodelista"/>
              <w:numPr>
                <w:ilvl w:val="1"/>
                <w:numId w:val="7"/>
              </w:numPr>
              <w:rPr>
                <w:b/>
                <w:color w:val="2F5496" w:themeColor="accent5" w:themeShade="BF"/>
              </w:rPr>
            </w:pPr>
            <w:r w:rsidRPr="006131ED">
              <w:rPr>
                <w:b/>
                <w:color w:val="2F5496" w:themeColor="accent5" w:themeShade="BF"/>
              </w:rPr>
              <w:t xml:space="preserve">Participar en la elaboración de los programas sectoriales que conforman el Programa Especial </w:t>
            </w:r>
            <w:r w:rsidRPr="006131ED">
              <w:rPr>
                <w:b/>
                <w:color w:val="2F5496" w:themeColor="accent5" w:themeShade="BF"/>
              </w:rPr>
              <w:lastRenderedPageBreak/>
              <w:t>Co</w:t>
            </w:r>
            <w:r>
              <w:rPr>
                <w:b/>
                <w:color w:val="2F5496" w:themeColor="accent5" w:themeShade="BF"/>
              </w:rPr>
              <w:t>ncurrente y que se derivan del P</w:t>
            </w:r>
            <w:r w:rsidRPr="006131ED">
              <w:rPr>
                <w:b/>
                <w:color w:val="2F5496" w:themeColor="accent5" w:themeShade="BF"/>
              </w:rPr>
              <w:t xml:space="preserve">lan </w:t>
            </w:r>
            <w:r>
              <w:rPr>
                <w:b/>
                <w:color w:val="2F5496" w:themeColor="accent5" w:themeShade="BF"/>
              </w:rPr>
              <w:t>N</w:t>
            </w:r>
            <w:r w:rsidRPr="006131ED">
              <w:rPr>
                <w:b/>
                <w:color w:val="2F5496" w:themeColor="accent5" w:themeShade="BF"/>
              </w:rPr>
              <w:t xml:space="preserve">acional de </w:t>
            </w:r>
            <w:r>
              <w:rPr>
                <w:b/>
                <w:color w:val="2F5496" w:themeColor="accent5" w:themeShade="BF"/>
              </w:rPr>
              <w:t>D</w:t>
            </w:r>
            <w:r w:rsidRPr="006131ED">
              <w:rPr>
                <w:b/>
                <w:color w:val="2F5496" w:themeColor="accent5" w:themeShade="BF"/>
              </w:rPr>
              <w:t>esarrollo; (Se replantea)</w:t>
            </w:r>
          </w:p>
          <w:p w:rsidR="006131ED" w:rsidRPr="006131ED" w:rsidRDefault="006131ED" w:rsidP="006131ED">
            <w:pPr>
              <w:pStyle w:val="Prrafodelista"/>
              <w:numPr>
                <w:ilvl w:val="1"/>
                <w:numId w:val="7"/>
              </w:numPr>
              <w:rPr>
                <w:b/>
              </w:rPr>
            </w:pPr>
            <w:r w:rsidRPr="006131ED">
              <w:rPr>
                <w:b/>
                <w:color w:val="2F5496" w:themeColor="accent5" w:themeShade="BF"/>
              </w:rPr>
              <w:t>Participar en la formulación del presupuesto correspondiente para instrumentar el Programa Especial Concurrente de los Programas Sectoriales con las materias de la Ley de Desarrollo Rural Sustentable;(Adecuar redacción)</w:t>
            </w:r>
          </w:p>
          <w:p w:rsidR="006131ED" w:rsidRPr="006131ED" w:rsidRDefault="006131ED" w:rsidP="006131ED">
            <w:pPr>
              <w:pStyle w:val="Prrafodelista"/>
              <w:numPr>
                <w:ilvl w:val="1"/>
                <w:numId w:val="7"/>
              </w:numPr>
              <w:rPr>
                <w:b/>
                <w:color w:val="2F5496" w:themeColor="accent5" w:themeShade="BF"/>
              </w:rPr>
            </w:pPr>
            <w:r w:rsidRPr="006131ED">
              <w:rPr>
                <w:b/>
                <w:color w:val="2F5496" w:themeColor="accent5" w:themeShade="BF"/>
              </w:rPr>
              <w:t>Estrategia presupuestal para igualdad de género</w:t>
            </w:r>
            <w:r>
              <w:rPr>
                <w:b/>
                <w:color w:val="2F5496" w:themeColor="accent5" w:themeShade="BF"/>
              </w:rPr>
              <w:t>.</w:t>
            </w:r>
          </w:p>
          <w:p w:rsidR="006131ED" w:rsidRPr="006131ED" w:rsidRDefault="006131ED" w:rsidP="006131ED">
            <w:pPr>
              <w:ind w:left="360"/>
              <w:rPr>
                <w:b/>
              </w:rPr>
            </w:pPr>
          </w:p>
          <w:p w:rsidR="004F4769" w:rsidRDefault="004F4769" w:rsidP="004F4769">
            <w:pPr>
              <w:pStyle w:val="Prrafodelista"/>
              <w:numPr>
                <w:ilvl w:val="0"/>
                <w:numId w:val="7"/>
              </w:numPr>
            </w:pPr>
            <w:r>
              <w:t>Coordinación para el Desarrollo Rural Sustentable.</w:t>
            </w:r>
          </w:p>
          <w:p w:rsidR="004F4769" w:rsidRDefault="004F4769" w:rsidP="004F4769">
            <w:pPr>
              <w:pStyle w:val="Prrafodelista"/>
              <w:numPr>
                <w:ilvl w:val="0"/>
                <w:numId w:val="7"/>
              </w:numPr>
            </w:pPr>
            <w:r>
              <w:t>De la Federalización y Descentralización.</w:t>
            </w:r>
          </w:p>
          <w:p w:rsidR="004F4769" w:rsidRDefault="004F4769" w:rsidP="004F4769">
            <w:pPr>
              <w:pStyle w:val="Prrafodelista"/>
              <w:numPr>
                <w:ilvl w:val="0"/>
                <w:numId w:val="7"/>
              </w:numPr>
            </w:pPr>
            <w:r>
              <w:t>Investigación y Transferencia de Tecnología.</w:t>
            </w:r>
          </w:p>
          <w:p w:rsidR="004F4769" w:rsidRDefault="004F4769" w:rsidP="004F4769">
            <w:pPr>
              <w:pStyle w:val="Prrafodelista"/>
              <w:numPr>
                <w:ilvl w:val="0"/>
                <w:numId w:val="7"/>
              </w:numPr>
            </w:pPr>
            <w:r>
              <w:t>Capacitación y Asistencia Técnica.</w:t>
            </w:r>
          </w:p>
          <w:p w:rsidR="004F4769" w:rsidRDefault="004F4769" w:rsidP="004F4769">
            <w:pPr>
              <w:pStyle w:val="Prrafodelista"/>
              <w:numPr>
                <w:ilvl w:val="0"/>
                <w:numId w:val="7"/>
              </w:numPr>
            </w:pPr>
            <w:r>
              <w:t>Capitalización Rural</w:t>
            </w:r>
          </w:p>
          <w:p w:rsidR="004F4769" w:rsidRDefault="004F4769" w:rsidP="004F4769">
            <w:pPr>
              <w:pStyle w:val="Prrafodelista"/>
              <w:numPr>
                <w:ilvl w:val="0"/>
                <w:numId w:val="7"/>
              </w:numPr>
            </w:pPr>
            <w:r>
              <w:t>Vigencia de apoyos al productor.</w:t>
            </w:r>
          </w:p>
          <w:p w:rsidR="004F4769" w:rsidRDefault="004F4769" w:rsidP="004F4769">
            <w:pPr>
              <w:pStyle w:val="Prrafodelista"/>
              <w:numPr>
                <w:ilvl w:val="0"/>
                <w:numId w:val="7"/>
              </w:numPr>
            </w:pPr>
            <w:r>
              <w:t>D</w:t>
            </w:r>
            <w:r w:rsidRPr="00ED573F">
              <w:t xml:space="preserve">efinición de Regiones </w:t>
            </w:r>
            <w:proofErr w:type="spellStart"/>
            <w:r w:rsidRPr="00ED573F">
              <w:t>fitozoosanitarias</w:t>
            </w:r>
            <w:proofErr w:type="spellEnd"/>
            <w:r>
              <w:t>.</w:t>
            </w:r>
          </w:p>
          <w:p w:rsidR="004F4769" w:rsidRDefault="004F4769" w:rsidP="004F4769">
            <w:pPr>
              <w:pStyle w:val="Prrafodelista"/>
              <w:numPr>
                <w:ilvl w:val="0"/>
                <w:numId w:val="7"/>
              </w:numPr>
            </w:pPr>
            <w:r>
              <w:t>Comercialización.</w:t>
            </w:r>
          </w:p>
          <w:p w:rsidR="004F4769" w:rsidRDefault="004F4769" w:rsidP="004F4769">
            <w:pPr>
              <w:pStyle w:val="Prrafodelista"/>
              <w:numPr>
                <w:ilvl w:val="0"/>
                <w:numId w:val="7"/>
              </w:numPr>
            </w:pPr>
            <w:r>
              <w:t>Sistema Nacional de Financiamiento Rural.</w:t>
            </w:r>
          </w:p>
          <w:p w:rsidR="004F4769" w:rsidRDefault="004F4769" w:rsidP="004F4769">
            <w:pPr>
              <w:pStyle w:val="Prrafodelista"/>
              <w:numPr>
                <w:ilvl w:val="0"/>
                <w:numId w:val="7"/>
              </w:numPr>
            </w:pPr>
            <w:r>
              <w:t>SNIDRUS</w:t>
            </w:r>
          </w:p>
          <w:p w:rsidR="004F4769" w:rsidRDefault="004F4769" w:rsidP="004F4769">
            <w:pPr>
              <w:pStyle w:val="Prrafodelista"/>
              <w:numPr>
                <w:ilvl w:val="0"/>
                <w:numId w:val="7"/>
              </w:numPr>
            </w:pPr>
            <w:r>
              <w:t xml:space="preserve">Fortalecimiento de la </w:t>
            </w:r>
            <w:proofErr w:type="spellStart"/>
            <w:r>
              <w:t>asociatividad</w:t>
            </w:r>
            <w:proofErr w:type="spellEnd"/>
            <w:r>
              <w:t xml:space="preserve"> y la participación en formulación de reglas de operación.</w:t>
            </w:r>
          </w:p>
          <w:p w:rsidR="004F4769" w:rsidRDefault="004F4769" w:rsidP="004F4769">
            <w:pPr>
              <w:pStyle w:val="Prrafodelista"/>
              <w:numPr>
                <w:ilvl w:val="0"/>
                <w:numId w:val="7"/>
              </w:numPr>
            </w:pPr>
            <w:r>
              <w:t>De los comités nacionales Sistema- Producto.</w:t>
            </w:r>
          </w:p>
          <w:p w:rsidR="004F4769" w:rsidRDefault="004F4769" w:rsidP="004F4769">
            <w:pPr>
              <w:pStyle w:val="Prrafodelista"/>
              <w:numPr>
                <w:ilvl w:val="0"/>
                <w:numId w:val="7"/>
              </w:numPr>
            </w:pPr>
            <w:r w:rsidRPr="00346225">
              <w:t>Programa Nacional de Fomento a la Organización Económica del Sector Rural</w:t>
            </w:r>
            <w:r>
              <w:t>.</w:t>
            </w:r>
          </w:p>
          <w:p w:rsidR="004F4769" w:rsidRDefault="004F4769" w:rsidP="004F4769">
            <w:pPr>
              <w:pStyle w:val="Prrafodelista"/>
              <w:numPr>
                <w:ilvl w:val="0"/>
                <w:numId w:val="7"/>
              </w:numPr>
            </w:pPr>
            <w:r>
              <w:t>D</w:t>
            </w:r>
            <w:r w:rsidRPr="00346225">
              <w:t>efinición de regiones de atención prioritaria para el desarrollo rural.</w:t>
            </w:r>
          </w:p>
          <w:p w:rsidR="004F4769" w:rsidRDefault="004F4769" w:rsidP="004F4769">
            <w:pPr>
              <w:pStyle w:val="Prrafodelista"/>
              <w:numPr>
                <w:ilvl w:val="0"/>
                <w:numId w:val="7"/>
              </w:numPr>
            </w:pPr>
            <w:r w:rsidRPr="00346225">
              <w:t>Sustentabilidad de la producción rural</w:t>
            </w:r>
            <w:r>
              <w:t>.</w:t>
            </w:r>
          </w:p>
          <w:p w:rsidR="004F4769" w:rsidRDefault="004F4769" w:rsidP="004F4769">
            <w:pPr>
              <w:pStyle w:val="Prrafodelista"/>
              <w:numPr>
                <w:ilvl w:val="0"/>
                <w:numId w:val="7"/>
              </w:numPr>
            </w:pPr>
            <w:r>
              <w:t>De la Seguridad y soberanía alimentaria.</w:t>
            </w:r>
          </w:p>
          <w:p w:rsidR="004F4769" w:rsidRDefault="004F4769" w:rsidP="004F4769">
            <w:pPr>
              <w:pStyle w:val="Prrafodelista"/>
              <w:numPr>
                <w:ilvl w:val="0"/>
                <w:numId w:val="7"/>
              </w:numPr>
            </w:pPr>
            <w:r w:rsidRPr="00346225">
              <w:t>Servicio Nacional de Arbitraje de los Productos Ofertados por la Sociedad Rural</w:t>
            </w:r>
            <w:r>
              <w:t>.</w:t>
            </w:r>
          </w:p>
          <w:p w:rsidR="004F4769" w:rsidRDefault="004F4769" w:rsidP="004F4769">
            <w:pPr>
              <w:pStyle w:val="Prrafodelista"/>
              <w:numPr>
                <w:ilvl w:val="0"/>
                <w:numId w:val="7"/>
              </w:numPr>
            </w:pPr>
            <w:r w:rsidRPr="00AA6C70">
              <w:t>Apoyos Económicos y programas presupuestarios</w:t>
            </w:r>
            <w:r>
              <w:t>.</w:t>
            </w:r>
          </w:p>
        </w:tc>
      </w:tr>
      <w:tr w:rsidR="004F4769" w:rsidTr="00B60AA7">
        <w:tc>
          <w:tcPr>
            <w:tcW w:w="1980" w:type="dxa"/>
            <w:tcBorders>
              <w:right w:val="single" w:sz="4" w:space="0" w:color="auto"/>
            </w:tcBorders>
          </w:tcPr>
          <w:p w:rsidR="004F4769" w:rsidRDefault="004F4769" w:rsidP="00B60AA7">
            <w:r w:rsidRPr="00ED573F">
              <w:rPr>
                <w:b/>
              </w:rPr>
              <w:lastRenderedPageBreak/>
              <w:t>Capítulo IV</w:t>
            </w:r>
          </w:p>
        </w:tc>
        <w:tc>
          <w:tcPr>
            <w:tcW w:w="283" w:type="dxa"/>
            <w:tcBorders>
              <w:top w:val="nil"/>
              <w:left w:val="single" w:sz="4" w:space="0" w:color="auto"/>
              <w:bottom w:val="nil"/>
              <w:right w:val="single" w:sz="4" w:space="0" w:color="auto"/>
            </w:tcBorders>
            <w:shd w:val="clear" w:color="auto" w:fill="FFFFFF" w:themeFill="background1"/>
          </w:tcPr>
          <w:p w:rsidR="004F4769" w:rsidRDefault="004F4769" w:rsidP="00B60AA7"/>
        </w:tc>
        <w:tc>
          <w:tcPr>
            <w:tcW w:w="6565" w:type="dxa"/>
            <w:tcBorders>
              <w:left w:val="single" w:sz="4" w:space="0" w:color="auto"/>
            </w:tcBorders>
          </w:tcPr>
          <w:p w:rsidR="004F4769" w:rsidRDefault="004F4769" w:rsidP="00B60AA7">
            <w:r>
              <w:t>De las funciones de los integrantes del CMDRS</w:t>
            </w:r>
          </w:p>
          <w:p w:rsidR="004F4769" w:rsidRPr="004F4769" w:rsidRDefault="004F4769" w:rsidP="004F4769">
            <w:pPr>
              <w:pStyle w:val="Prrafodelista"/>
              <w:numPr>
                <w:ilvl w:val="0"/>
                <w:numId w:val="3"/>
              </w:numPr>
            </w:pPr>
            <w:r w:rsidRPr="004F4769">
              <w:t xml:space="preserve">De las funciones del </w:t>
            </w:r>
            <w:proofErr w:type="spellStart"/>
            <w:r w:rsidRPr="004F4769">
              <w:t>Pdte</w:t>
            </w:r>
            <w:proofErr w:type="spellEnd"/>
            <w:r w:rsidRPr="004F4769">
              <w:t xml:space="preserve"> del CMDRS</w:t>
            </w:r>
          </w:p>
          <w:p w:rsidR="004F4769" w:rsidRDefault="004F4769" w:rsidP="004F4769">
            <w:pPr>
              <w:pStyle w:val="Prrafodelista"/>
              <w:numPr>
                <w:ilvl w:val="0"/>
                <w:numId w:val="3"/>
              </w:numPr>
            </w:pPr>
            <w:r>
              <w:t>De las funciones del Secretario Técnico del CMDRS.</w:t>
            </w:r>
          </w:p>
          <w:p w:rsidR="004F4769" w:rsidRDefault="004F4769" w:rsidP="004F4769">
            <w:pPr>
              <w:pStyle w:val="Prrafodelista"/>
              <w:numPr>
                <w:ilvl w:val="0"/>
                <w:numId w:val="3"/>
              </w:numPr>
            </w:pPr>
            <w:r>
              <w:t>De las funciones del secretario consejero.</w:t>
            </w:r>
          </w:p>
          <w:p w:rsidR="004F4769" w:rsidRPr="004F4769" w:rsidRDefault="004F4769" w:rsidP="004F4769">
            <w:pPr>
              <w:pStyle w:val="Prrafodelista"/>
              <w:numPr>
                <w:ilvl w:val="0"/>
                <w:numId w:val="3"/>
              </w:numPr>
            </w:pPr>
            <w:r w:rsidRPr="004F4769">
              <w:t>De las funciones de los consejeros del CMDRS</w:t>
            </w:r>
          </w:p>
        </w:tc>
      </w:tr>
      <w:tr w:rsidR="004F4769" w:rsidRPr="00D577F0" w:rsidTr="00B60AA7">
        <w:tc>
          <w:tcPr>
            <w:tcW w:w="1980" w:type="dxa"/>
            <w:tcBorders>
              <w:right w:val="single" w:sz="4" w:space="0" w:color="auto"/>
            </w:tcBorders>
            <w:shd w:val="clear" w:color="auto" w:fill="BF8F00" w:themeFill="accent4" w:themeFillShade="BF"/>
          </w:tcPr>
          <w:p w:rsidR="004F4769" w:rsidRPr="00346225" w:rsidRDefault="004F4769" w:rsidP="00B60AA7">
            <w:pPr>
              <w:rPr>
                <w:b/>
                <w:color w:val="FFFFFF" w:themeColor="background1"/>
              </w:rPr>
            </w:pPr>
            <w:r w:rsidRPr="00346225">
              <w:rPr>
                <w:b/>
              </w:rPr>
              <w:t>Capítulo V</w:t>
            </w:r>
          </w:p>
        </w:tc>
        <w:tc>
          <w:tcPr>
            <w:tcW w:w="283" w:type="dxa"/>
            <w:tcBorders>
              <w:top w:val="nil"/>
              <w:left w:val="single" w:sz="4" w:space="0" w:color="auto"/>
              <w:bottom w:val="nil"/>
              <w:right w:val="single" w:sz="4" w:space="0" w:color="auto"/>
            </w:tcBorders>
            <w:shd w:val="clear" w:color="auto" w:fill="FFFFFF" w:themeFill="background1"/>
          </w:tcPr>
          <w:p w:rsidR="004F4769" w:rsidRPr="00D577F0" w:rsidRDefault="004F4769" w:rsidP="00B60AA7">
            <w:pPr>
              <w:rPr>
                <w:b/>
                <w:color w:val="FFFFFF" w:themeColor="background1"/>
              </w:rPr>
            </w:pPr>
          </w:p>
        </w:tc>
        <w:tc>
          <w:tcPr>
            <w:tcW w:w="6565" w:type="dxa"/>
            <w:tcBorders>
              <w:left w:val="single" w:sz="4" w:space="0" w:color="auto"/>
            </w:tcBorders>
            <w:shd w:val="clear" w:color="auto" w:fill="BF8F00" w:themeFill="accent4" w:themeFillShade="BF"/>
          </w:tcPr>
          <w:p w:rsidR="004F4769" w:rsidRDefault="004F4769" w:rsidP="00B60AA7">
            <w:pPr>
              <w:rPr>
                <w:b/>
                <w:color w:val="FFFFFF" w:themeColor="background1"/>
              </w:rPr>
            </w:pPr>
            <w:r w:rsidRPr="00D577F0">
              <w:rPr>
                <w:b/>
                <w:color w:val="FFFFFF" w:themeColor="background1"/>
              </w:rPr>
              <w:t>De las comisiones de trabajo.</w:t>
            </w:r>
          </w:p>
          <w:p w:rsidR="004F4769" w:rsidRDefault="004F4769" w:rsidP="004F4769">
            <w:pPr>
              <w:pStyle w:val="Prrafodelista"/>
              <w:numPr>
                <w:ilvl w:val="0"/>
                <w:numId w:val="4"/>
              </w:numPr>
              <w:rPr>
                <w:b/>
                <w:color w:val="FFFFFF" w:themeColor="background1"/>
              </w:rPr>
            </w:pPr>
            <w:r>
              <w:rPr>
                <w:b/>
                <w:color w:val="FFFFFF" w:themeColor="background1"/>
              </w:rPr>
              <w:t xml:space="preserve">Comisión del </w:t>
            </w:r>
            <w:r w:rsidRPr="00B37E5A">
              <w:rPr>
                <w:b/>
                <w:color w:val="FFFFFF" w:themeColor="background1"/>
              </w:rPr>
              <w:t>Programa Básico de Producción y Comercialización de Productos</w:t>
            </w:r>
            <w:r>
              <w:rPr>
                <w:b/>
                <w:color w:val="FFFFFF" w:themeColor="background1"/>
              </w:rPr>
              <w:t>.</w:t>
            </w:r>
          </w:p>
          <w:p w:rsidR="004F4769" w:rsidRDefault="004F4769" w:rsidP="004F4769">
            <w:pPr>
              <w:pStyle w:val="Prrafodelista"/>
              <w:numPr>
                <w:ilvl w:val="0"/>
                <w:numId w:val="4"/>
              </w:numPr>
              <w:rPr>
                <w:b/>
                <w:color w:val="FFFFFF" w:themeColor="background1"/>
              </w:rPr>
            </w:pPr>
            <w:r>
              <w:rPr>
                <w:b/>
                <w:color w:val="FFFFFF" w:themeColor="background1"/>
              </w:rPr>
              <w:t>Comisión de vinculación entre consejos, sistemas y servicios.</w:t>
            </w:r>
          </w:p>
          <w:p w:rsidR="004F4769" w:rsidRPr="004E64FA" w:rsidRDefault="004F4769" w:rsidP="004F4769">
            <w:pPr>
              <w:pStyle w:val="Prrafodelista"/>
              <w:numPr>
                <w:ilvl w:val="0"/>
                <w:numId w:val="4"/>
              </w:numPr>
              <w:rPr>
                <w:b/>
                <w:color w:val="FFFFFF" w:themeColor="background1"/>
              </w:rPr>
            </w:pPr>
            <w:r>
              <w:rPr>
                <w:b/>
                <w:color w:val="FFFFFF" w:themeColor="background1"/>
              </w:rPr>
              <w:lastRenderedPageBreak/>
              <w:t>Una que tenga relación con la equidad de genero</w:t>
            </w:r>
          </w:p>
        </w:tc>
      </w:tr>
      <w:tr w:rsidR="004F4769" w:rsidTr="00B60AA7">
        <w:tc>
          <w:tcPr>
            <w:tcW w:w="1980" w:type="dxa"/>
            <w:tcBorders>
              <w:right w:val="single" w:sz="4" w:space="0" w:color="auto"/>
            </w:tcBorders>
          </w:tcPr>
          <w:p w:rsidR="004F4769" w:rsidRDefault="004F4769" w:rsidP="00B60AA7">
            <w:r w:rsidRPr="002A64AF">
              <w:rPr>
                <w:b/>
              </w:rPr>
              <w:lastRenderedPageBreak/>
              <w:t>Capítulo VI</w:t>
            </w:r>
          </w:p>
        </w:tc>
        <w:tc>
          <w:tcPr>
            <w:tcW w:w="283" w:type="dxa"/>
            <w:tcBorders>
              <w:top w:val="nil"/>
              <w:left w:val="single" w:sz="4" w:space="0" w:color="auto"/>
              <w:bottom w:val="nil"/>
              <w:right w:val="single" w:sz="4" w:space="0" w:color="auto"/>
            </w:tcBorders>
            <w:shd w:val="clear" w:color="auto" w:fill="FFFFFF" w:themeFill="background1"/>
          </w:tcPr>
          <w:p w:rsidR="004F4769" w:rsidRDefault="004F4769" w:rsidP="00B60AA7"/>
        </w:tc>
        <w:tc>
          <w:tcPr>
            <w:tcW w:w="6565" w:type="dxa"/>
            <w:tcBorders>
              <w:left w:val="single" w:sz="4" w:space="0" w:color="auto"/>
            </w:tcBorders>
          </w:tcPr>
          <w:p w:rsidR="004F4769" w:rsidRDefault="004F4769" w:rsidP="00B60AA7">
            <w:r>
              <w:t>De las sesiones del CMDRS</w:t>
            </w:r>
          </w:p>
        </w:tc>
      </w:tr>
      <w:tr w:rsidR="004F4769" w:rsidRPr="00D577F0" w:rsidTr="00B60AA7">
        <w:tc>
          <w:tcPr>
            <w:tcW w:w="1980" w:type="dxa"/>
            <w:tcBorders>
              <w:right w:val="single" w:sz="4" w:space="0" w:color="auto"/>
            </w:tcBorders>
            <w:shd w:val="clear" w:color="auto" w:fill="BF8F00" w:themeFill="accent4" w:themeFillShade="BF"/>
          </w:tcPr>
          <w:p w:rsidR="004F4769" w:rsidRPr="002A64AF" w:rsidRDefault="004F4769" w:rsidP="00B60AA7">
            <w:pPr>
              <w:rPr>
                <w:b/>
                <w:color w:val="FFFFFF" w:themeColor="background1"/>
              </w:rPr>
            </w:pPr>
            <w:r w:rsidRPr="002A64AF">
              <w:rPr>
                <w:b/>
              </w:rPr>
              <w:t>Capítulo VII</w:t>
            </w:r>
          </w:p>
        </w:tc>
        <w:tc>
          <w:tcPr>
            <w:tcW w:w="283" w:type="dxa"/>
            <w:tcBorders>
              <w:top w:val="nil"/>
              <w:left w:val="single" w:sz="4" w:space="0" w:color="auto"/>
              <w:bottom w:val="nil"/>
              <w:right w:val="single" w:sz="4" w:space="0" w:color="auto"/>
            </w:tcBorders>
            <w:shd w:val="clear" w:color="auto" w:fill="FFFFFF" w:themeFill="background1"/>
          </w:tcPr>
          <w:p w:rsidR="004F4769" w:rsidRPr="00D577F0" w:rsidRDefault="004F4769" w:rsidP="00B60AA7">
            <w:pPr>
              <w:rPr>
                <w:b/>
                <w:color w:val="FFFFFF" w:themeColor="background1"/>
              </w:rPr>
            </w:pPr>
          </w:p>
        </w:tc>
        <w:tc>
          <w:tcPr>
            <w:tcW w:w="6565" w:type="dxa"/>
            <w:tcBorders>
              <w:left w:val="single" w:sz="4" w:space="0" w:color="auto"/>
            </w:tcBorders>
            <w:shd w:val="clear" w:color="auto" w:fill="BF8F00" w:themeFill="accent4" w:themeFillShade="BF"/>
          </w:tcPr>
          <w:p w:rsidR="004F4769" w:rsidRPr="00D577F0" w:rsidRDefault="004F4769" w:rsidP="00B60AA7">
            <w:pPr>
              <w:rPr>
                <w:b/>
                <w:color w:val="FFFFFF" w:themeColor="background1"/>
              </w:rPr>
            </w:pPr>
            <w:r>
              <w:t>Insertar causales de exclusión.</w:t>
            </w:r>
          </w:p>
        </w:tc>
      </w:tr>
    </w:tbl>
    <w:p w:rsidR="00324399" w:rsidRDefault="00324399">
      <w:pPr>
        <w:rPr>
          <w:b/>
          <w:sz w:val="36"/>
        </w:rPr>
      </w:pPr>
    </w:p>
    <w:p w:rsidR="00C52089" w:rsidRDefault="00454C63" w:rsidP="00A13FC6">
      <w:pPr>
        <w:jc w:val="both"/>
      </w:pPr>
      <w:r>
        <w:t>La Lic. Catalina Rodríguez Mendoza</w:t>
      </w:r>
      <w:r w:rsidR="00C900EA">
        <w:t xml:space="preserve">, </w:t>
      </w:r>
      <w:r>
        <w:t>compartió con los demás integrantes</w:t>
      </w:r>
      <w:r w:rsidR="00C900EA">
        <w:t xml:space="preserve"> el documento denominado </w:t>
      </w:r>
      <w:r w:rsidR="00C900EA" w:rsidRPr="00B778DC">
        <w:rPr>
          <w:b/>
        </w:rPr>
        <w:t>“Observaciones a la 5° reunión de trabajo del subgrupo de Base Jurídica</w:t>
      </w:r>
      <w:r w:rsidR="00B778DC" w:rsidRPr="00B778DC">
        <w:rPr>
          <w:b/>
        </w:rPr>
        <w:t xml:space="preserve">” </w:t>
      </w:r>
      <w:r w:rsidR="00C900EA">
        <w:t xml:space="preserve"> </w:t>
      </w:r>
      <w:r w:rsidR="00A13FC6">
        <w:t>de fecha 23 de septiembre de 2019</w:t>
      </w:r>
      <w:r w:rsidR="00A13FC6">
        <w:t>, el cual contiene l</w:t>
      </w:r>
      <w:r w:rsidR="00B778DC">
        <w:t xml:space="preserve">as observaciones relativas a los trabajos </w:t>
      </w:r>
      <w:r w:rsidR="00C900EA">
        <w:t>de ajuste de estructura al Reglamento del Consejo Mexicano para el Desarrollo Rural Sustentable (CMDRS)</w:t>
      </w:r>
      <w:r w:rsidR="00E1065D">
        <w:t xml:space="preserve">, </w:t>
      </w:r>
      <w:r w:rsidR="00B778DC">
        <w:t xml:space="preserve"> manifiesta su desacuerdo con algunos  de los numerales del capítulo III de la estructura propuesta, en virtud de considerar que se sobrepasa la consiga establecida en el artículo 17 de la LDRS de considerarse al CMDR</w:t>
      </w:r>
      <w:r w:rsidR="00A13FC6">
        <w:t>S</w:t>
      </w:r>
      <w:r w:rsidR="00B778DC">
        <w:t xml:space="preserve"> de carácter estrictamente consultivo, asimismo manifiesta que dicha minuta de trabajo no fue firmada en su momento en virtud de que al no estar presente en la reunión del pasado 9 de septiembre del año en curso, requería realizar las observaciones que se presentan en este documento, por que solicita que las mismas sean consideradas para la minuta de la 5° Reunión de trabajo del subgrupo Base Jurídica</w:t>
      </w:r>
      <w:r w:rsidR="00A13FC6">
        <w:t xml:space="preserve"> y sean insertadas en la misma para proceder a la firma correspondiente</w:t>
      </w:r>
      <w:bookmarkStart w:id="0" w:name="_GoBack"/>
      <w:bookmarkEnd w:id="0"/>
      <w:r w:rsidR="00B778DC">
        <w:t xml:space="preserve">. Que es todo lo que tiene que agregar a la presente.  </w:t>
      </w:r>
    </w:p>
    <w:p w:rsidR="00A13FC6" w:rsidRDefault="00A13FC6"/>
    <w:p w:rsidR="00324399" w:rsidRDefault="00C52089" w:rsidP="000C62BB">
      <w:pPr>
        <w:jc w:val="center"/>
      </w:pPr>
      <w:r>
        <w:t>Al final del tiempo dedicado a la reunión de trabajo el grupo llegó a los siguientes</w:t>
      </w:r>
    </w:p>
    <w:p w:rsidR="00324399" w:rsidRDefault="00324399" w:rsidP="000C62BB">
      <w:pPr>
        <w:jc w:val="center"/>
      </w:pPr>
    </w:p>
    <w:p w:rsidR="00C52089" w:rsidRDefault="000C62BB" w:rsidP="000C62BB">
      <w:pPr>
        <w:jc w:val="center"/>
      </w:pPr>
      <w:r w:rsidRPr="000C62BB">
        <w:rPr>
          <w:b/>
          <w:sz w:val="40"/>
        </w:rPr>
        <w:t>A</w:t>
      </w:r>
      <w:r w:rsidR="00C52089" w:rsidRPr="000C62BB">
        <w:rPr>
          <w:b/>
          <w:sz w:val="40"/>
        </w:rPr>
        <w:t>cuerdos:</w:t>
      </w:r>
    </w:p>
    <w:p w:rsidR="00C52089" w:rsidRDefault="00C52089" w:rsidP="00B470BA">
      <w:pPr>
        <w:jc w:val="both"/>
      </w:pPr>
    </w:p>
    <w:p w:rsidR="00324399" w:rsidRDefault="00324399" w:rsidP="00324399">
      <w:pPr>
        <w:pStyle w:val="Prrafodelista"/>
        <w:numPr>
          <w:ilvl w:val="0"/>
          <w:numId w:val="5"/>
        </w:numPr>
      </w:pPr>
      <w:r>
        <w:t>El LC Antonio Zamora García mandará documento hasta donde se tiene.</w:t>
      </w:r>
    </w:p>
    <w:p w:rsidR="00324399" w:rsidRDefault="00324399" w:rsidP="00324399">
      <w:pPr>
        <w:pStyle w:val="Prrafodelista"/>
        <w:numPr>
          <w:ilvl w:val="0"/>
          <w:numId w:val="5"/>
        </w:numPr>
      </w:pPr>
      <w:r>
        <w:t xml:space="preserve">Los participantes se comprometen a </w:t>
      </w:r>
      <w:r w:rsidR="006131ED">
        <w:t>hacer propuestas de avance</w:t>
      </w:r>
      <w:r>
        <w:t xml:space="preserve"> </w:t>
      </w:r>
      <w:r w:rsidR="006131ED">
        <w:t>al capítulo III sobre la prop</w:t>
      </w:r>
      <w:r>
        <w:t xml:space="preserve">uesta </w:t>
      </w:r>
      <w:r w:rsidR="006131ED">
        <w:t>de artículos al tema</w:t>
      </w:r>
      <w:r>
        <w:t>.</w:t>
      </w:r>
    </w:p>
    <w:p w:rsidR="00F963A9" w:rsidRDefault="00324399" w:rsidP="00324399">
      <w:pPr>
        <w:pStyle w:val="Prrafodelista"/>
        <w:numPr>
          <w:ilvl w:val="0"/>
          <w:numId w:val="5"/>
        </w:numPr>
      </w:pPr>
      <w:r>
        <w:t xml:space="preserve">Próxima reunión </w:t>
      </w:r>
      <w:r w:rsidR="00454C63">
        <w:t>lunes</w:t>
      </w:r>
      <w:r>
        <w:t xml:space="preserve"> </w:t>
      </w:r>
      <w:r w:rsidR="006131ED">
        <w:t>07</w:t>
      </w:r>
      <w:r>
        <w:t xml:space="preserve"> de </w:t>
      </w:r>
      <w:r w:rsidR="006131ED">
        <w:t xml:space="preserve">octubre a las 15:30 </w:t>
      </w:r>
      <w:proofErr w:type="spellStart"/>
      <w:r w:rsidR="006131ED">
        <w:t>hrs</w:t>
      </w:r>
      <w:proofErr w:type="spellEnd"/>
      <w:r>
        <w:t>.</w:t>
      </w:r>
    </w:p>
    <w:p w:rsidR="00C52089" w:rsidRDefault="00C52089"/>
    <w:p w:rsidR="00C53C2B" w:rsidRDefault="00C53C2B"/>
    <w:p w:rsidR="00C53C2B" w:rsidRDefault="00C53C2B"/>
    <w:p w:rsidR="00C53C2B" w:rsidRDefault="00C53C2B"/>
    <w:p w:rsidR="00C53C2B" w:rsidRDefault="00C53C2B"/>
    <w:p w:rsidR="00C53C2B" w:rsidRDefault="00C53C2B"/>
    <w:p w:rsidR="00C53C2B" w:rsidRDefault="00C53C2B"/>
    <w:p w:rsidR="00C53C2B" w:rsidRDefault="00C53C2B"/>
    <w:p w:rsidR="00C53C2B" w:rsidRDefault="00C53C2B"/>
    <w:p w:rsidR="00C53C2B" w:rsidRDefault="00C53C2B"/>
    <w:p w:rsidR="00C53C2B" w:rsidRDefault="00C53C2B"/>
    <w:p w:rsidR="00C53C2B" w:rsidRDefault="00C53C2B" w:rsidP="00C53C2B">
      <w:pPr>
        <w:jc w:val="center"/>
      </w:pPr>
      <w:r>
        <w:rPr>
          <w:b/>
          <w:sz w:val="40"/>
        </w:rPr>
        <w:t>Asistencia:</w:t>
      </w:r>
    </w:p>
    <w:p w:rsidR="00C53C2B" w:rsidRDefault="00C53C2B"/>
    <w:p w:rsidR="00C53C2B" w:rsidRDefault="00C53C2B"/>
    <w:tbl>
      <w:tblPr>
        <w:tblStyle w:val="Tablaconcuadrcula"/>
        <w:tblW w:w="10206" w:type="dxa"/>
        <w:tblLayout w:type="fixed"/>
        <w:tblLook w:val="04A0" w:firstRow="1" w:lastRow="0" w:firstColumn="1" w:lastColumn="0" w:noHBand="0" w:noVBand="1"/>
      </w:tblPr>
      <w:tblGrid>
        <w:gridCol w:w="1696"/>
        <w:gridCol w:w="3832"/>
        <w:gridCol w:w="2410"/>
        <w:gridCol w:w="2268"/>
      </w:tblGrid>
      <w:tr w:rsidR="000C62BB" w:rsidRPr="000C62BB" w:rsidTr="000C62BB">
        <w:trPr>
          <w:trHeight w:val="714"/>
        </w:trPr>
        <w:tc>
          <w:tcPr>
            <w:tcW w:w="1696" w:type="dxa"/>
            <w:shd w:val="clear" w:color="auto" w:fill="525252" w:themeFill="accent3" w:themeFillShade="80"/>
            <w:vAlign w:val="center"/>
          </w:tcPr>
          <w:p w:rsidR="000C62BB" w:rsidRPr="000C62BB" w:rsidRDefault="000C62BB" w:rsidP="000C62BB">
            <w:pPr>
              <w:jc w:val="center"/>
              <w:rPr>
                <w:b/>
                <w:color w:val="FFFFFF" w:themeColor="background1"/>
              </w:rPr>
            </w:pPr>
            <w:r w:rsidRPr="000C62BB">
              <w:rPr>
                <w:b/>
                <w:color w:val="FFFFFF" w:themeColor="background1"/>
              </w:rPr>
              <w:t>Institución</w:t>
            </w:r>
          </w:p>
        </w:tc>
        <w:tc>
          <w:tcPr>
            <w:tcW w:w="3832" w:type="dxa"/>
            <w:shd w:val="clear" w:color="auto" w:fill="525252" w:themeFill="accent3" w:themeFillShade="80"/>
            <w:vAlign w:val="center"/>
          </w:tcPr>
          <w:p w:rsidR="000C62BB" w:rsidRPr="000C62BB" w:rsidRDefault="000C62BB" w:rsidP="000C62BB">
            <w:pPr>
              <w:jc w:val="center"/>
              <w:rPr>
                <w:b/>
                <w:color w:val="FFFFFF" w:themeColor="background1"/>
              </w:rPr>
            </w:pPr>
            <w:r w:rsidRPr="000C62BB">
              <w:rPr>
                <w:b/>
                <w:color w:val="FFFFFF" w:themeColor="background1"/>
              </w:rPr>
              <w:t>Nombre</w:t>
            </w:r>
          </w:p>
        </w:tc>
        <w:tc>
          <w:tcPr>
            <w:tcW w:w="2410" w:type="dxa"/>
            <w:shd w:val="clear" w:color="auto" w:fill="525252" w:themeFill="accent3" w:themeFillShade="80"/>
            <w:vAlign w:val="center"/>
          </w:tcPr>
          <w:p w:rsidR="000C62BB" w:rsidRPr="000C62BB" w:rsidRDefault="000C62BB" w:rsidP="000C62BB">
            <w:pPr>
              <w:jc w:val="center"/>
              <w:rPr>
                <w:b/>
                <w:color w:val="FFFFFF" w:themeColor="background1"/>
              </w:rPr>
            </w:pPr>
            <w:r w:rsidRPr="000C62BB">
              <w:rPr>
                <w:b/>
                <w:color w:val="FFFFFF" w:themeColor="background1"/>
              </w:rPr>
              <w:t>Cargo.</w:t>
            </w:r>
          </w:p>
        </w:tc>
        <w:tc>
          <w:tcPr>
            <w:tcW w:w="2268" w:type="dxa"/>
            <w:shd w:val="clear" w:color="auto" w:fill="525252" w:themeFill="accent3" w:themeFillShade="80"/>
            <w:vAlign w:val="center"/>
          </w:tcPr>
          <w:p w:rsidR="000C62BB" w:rsidRPr="000C62BB" w:rsidRDefault="000C62BB" w:rsidP="000C62BB">
            <w:pPr>
              <w:jc w:val="center"/>
              <w:rPr>
                <w:b/>
                <w:color w:val="FFFFFF" w:themeColor="background1"/>
              </w:rPr>
            </w:pPr>
            <w:r w:rsidRPr="000C62BB">
              <w:rPr>
                <w:b/>
                <w:color w:val="FFFFFF" w:themeColor="background1"/>
              </w:rPr>
              <w:t>Firma</w:t>
            </w:r>
          </w:p>
        </w:tc>
      </w:tr>
      <w:tr w:rsidR="000C62BB" w:rsidTr="000C62BB">
        <w:trPr>
          <w:trHeight w:val="1020"/>
        </w:trPr>
        <w:tc>
          <w:tcPr>
            <w:tcW w:w="1696" w:type="dxa"/>
            <w:vAlign w:val="center"/>
          </w:tcPr>
          <w:p w:rsidR="000C62BB" w:rsidRDefault="000C62BB" w:rsidP="000C62BB">
            <w:pPr>
              <w:jc w:val="center"/>
            </w:pPr>
            <w:r>
              <w:t>CMDRS</w:t>
            </w:r>
          </w:p>
        </w:tc>
        <w:tc>
          <w:tcPr>
            <w:tcW w:w="3832" w:type="dxa"/>
            <w:vAlign w:val="center"/>
          </w:tcPr>
          <w:p w:rsidR="000C62BB" w:rsidRPr="00382A6A" w:rsidRDefault="000C62BB" w:rsidP="000C62BB">
            <w:r w:rsidRPr="00382A6A">
              <w:t>Amalio Vargas Soto.</w:t>
            </w:r>
          </w:p>
        </w:tc>
        <w:tc>
          <w:tcPr>
            <w:tcW w:w="2410" w:type="dxa"/>
            <w:vAlign w:val="center"/>
          </w:tcPr>
          <w:p w:rsidR="000C62BB" w:rsidRDefault="000C62BB" w:rsidP="000C62BB">
            <w:r>
              <w:t>Consejero</w:t>
            </w:r>
          </w:p>
        </w:tc>
        <w:tc>
          <w:tcPr>
            <w:tcW w:w="2268" w:type="dxa"/>
          </w:tcPr>
          <w:p w:rsidR="000C62BB" w:rsidRDefault="000C62BB" w:rsidP="000C62BB"/>
        </w:tc>
      </w:tr>
      <w:tr w:rsidR="000C62BB" w:rsidTr="000C62BB">
        <w:trPr>
          <w:trHeight w:val="1020"/>
        </w:trPr>
        <w:tc>
          <w:tcPr>
            <w:tcW w:w="1696" w:type="dxa"/>
            <w:vAlign w:val="center"/>
          </w:tcPr>
          <w:p w:rsidR="000C62BB" w:rsidRDefault="000C62BB" w:rsidP="000C62BB">
            <w:pPr>
              <w:jc w:val="center"/>
            </w:pPr>
            <w:r>
              <w:t>CMDRS</w:t>
            </w:r>
          </w:p>
        </w:tc>
        <w:tc>
          <w:tcPr>
            <w:tcW w:w="3832" w:type="dxa"/>
            <w:vAlign w:val="center"/>
          </w:tcPr>
          <w:p w:rsidR="000C62BB" w:rsidRPr="00382A6A" w:rsidRDefault="000C62BB" w:rsidP="000C62BB">
            <w:r w:rsidRPr="00382A6A">
              <w:t>Jaime Castillo Ulloa</w:t>
            </w:r>
          </w:p>
        </w:tc>
        <w:tc>
          <w:tcPr>
            <w:tcW w:w="2410" w:type="dxa"/>
            <w:vAlign w:val="center"/>
          </w:tcPr>
          <w:p w:rsidR="000C62BB" w:rsidRDefault="000C62BB" w:rsidP="000C62BB">
            <w:r>
              <w:t>Consejero</w:t>
            </w:r>
          </w:p>
        </w:tc>
        <w:tc>
          <w:tcPr>
            <w:tcW w:w="2268" w:type="dxa"/>
          </w:tcPr>
          <w:p w:rsidR="000C62BB" w:rsidRDefault="000C62BB" w:rsidP="000C62BB"/>
        </w:tc>
      </w:tr>
      <w:tr w:rsidR="000C62BB" w:rsidTr="000C62BB">
        <w:trPr>
          <w:trHeight w:val="1020"/>
        </w:trPr>
        <w:tc>
          <w:tcPr>
            <w:tcW w:w="1696" w:type="dxa"/>
            <w:vAlign w:val="center"/>
          </w:tcPr>
          <w:p w:rsidR="000C62BB" w:rsidRDefault="000C62BB" w:rsidP="000C62BB">
            <w:pPr>
              <w:jc w:val="center"/>
            </w:pPr>
            <w:r>
              <w:t>SADER</w:t>
            </w:r>
          </w:p>
        </w:tc>
        <w:tc>
          <w:tcPr>
            <w:tcW w:w="3832" w:type="dxa"/>
            <w:vAlign w:val="center"/>
          </w:tcPr>
          <w:p w:rsidR="000C62BB" w:rsidRDefault="000C62BB" w:rsidP="000C62BB">
            <w:r w:rsidRPr="00382A6A">
              <w:t>Catalina Rodríguez Mendoza</w:t>
            </w:r>
          </w:p>
          <w:p w:rsidR="000C62BB" w:rsidRPr="00382A6A" w:rsidRDefault="000C62BB" w:rsidP="000C62BB"/>
        </w:tc>
        <w:tc>
          <w:tcPr>
            <w:tcW w:w="2410" w:type="dxa"/>
            <w:vAlign w:val="center"/>
          </w:tcPr>
          <w:p w:rsidR="000C62BB" w:rsidRDefault="000C62BB" w:rsidP="000C62BB">
            <w:r>
              <w:t>Subdirector de la Coord. Enlace Sectorial</w:t>
            </w:r>
          </w:p>
        </w:tc>
        <w:tc>
          <w:tcPr>
            <w:tcW w:w="2268" w:type="dxa"/>
          </w:tcPr>
          <w:p w:rsidR="000C62BB" w:rsidRDefault="000C62BB" w:rsidP="000C62BB"/>
        </w:tc>
      </w:tr>
      <w:tr w:rsidR="000C62BB" w:rsidTr="000C62BB">
        <w:trPr>
          <w:trHeight w:val="1020"/>
        </w:trPr>
        <w:tc>
          <w:tcPr>
            <w:tcW w:w="1696" w:type="dxa"/>
            <w:vAlign w:val="center"/>
          </w:tcPr>
          <w:p w:rsidR="000C62BB" w:rsidRDefault="000C62BB" w:rsidP="000C62BB">
            <w:pPr>
              <w:jc w:val="center"/>
            </w:pPr>
            <w:r>
              <w:t>SADER</w:t>
            </w:r>
          </w:p>
        </w:tc>
        <w:tc>
          <w:tcPr>
            <w:tcW w:w="3832" w:type="dxa"/>
            <w:vAlign w:val="center"/>
          </w:tcPr>
          <w:p w:rsidR="000C62BB" w:rsidRDefault="000C62BB" w:rsidP="000C62BB">
            <w:r w:rsidRPr="00382A6A">
              <w:t>Antonio Zamora García</w:t>
            </w:r>
          </w:p>
          <w:p w:rsidR="000C62BB" w:rsidRPr="00382A6A" w:rsidRDefault="000C62BB" w:rsidP="000C62BB"/>
        </w:tc>
        <w:tc>
          <w:tcPr>
            <w:tcW w:w="2410" w:type="dxa"/>
            <w:vAlign w:val="center"/>
          </w:tcPr>
          <w:p w:rsidR="000C62BB" w:rsidRDefault="000C62BB" w:rsidP="000C62BB">
            <w:r>
              <w:t xml:space="preserve">Subdirector de la Coord. </w:t>
            </w:r>
            <w:proofErr w:type="spellStart"/>
            <w:r>
              <w:t>Gral</w:t>
            </w:r>
            <w:proofErr w:type="spellEnd"/>
            <w:r>
              <w:t xml:space="preserve"> de Delegaciones</w:t>
            </w:r>
          </w:p>
        </w:tc>
        <w:tc>
          <w:tcPr>
            <w:tcW w:w="2268" w:type="dxa"/>
          </w:tcPr>
          <w:p w:rsidR="000C62BB" w:rsidRDefault="000C62BB" w:rsidP="000C62BB"/>
        </w:tc>
      </w:tr>
    </w:tbl>
    <w:p w:rsidR="000C62BB" w:rsidRDefault="000C62BB"/>
    <w:p w:rsidR="000C62BB" w:rsidRDefault="000C62BB"/>
    <w:sectPr w:rsidR="000C62BB" w:rsidSect="004A781E">
      <w:headerReference w:type="default" r:id="rId7"/>
      <w:footerReference w:type="default" r:id="rId8"/>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2BF2" w:rsidRDefault="00A92BF2" w:rsidP="00F963A9">
      <w:pPr>
        <w:spacing w:after="0" w:line="240" w:lineRule="auto"/>
      </w:pPr>
      <w:r>
        <w:separator/>
      </w:r>
    </w:p>
  </w:endnote>
  <w:endnote w:type="continuationSeparator" w:id="0">
    <w:p w:rsidR="00A92BF2" w:rsidRDefault="00A92BF2" w:rsidP="00F963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4163878"/>
      <w:docPartObj>
        <w:docPartGallery w:val="Page Numbers (Bottom of Page)"/>
        <w:docPartUnique/>
      </w:docPartObj>
    </w:sdtPr>
    <w:sdtEndPr>
      <w:rPr>
        <w:b/>
        <w:color w:val="BF8F00" w:themeColor="accent4" w:themeShade="BF"/>
      </w:rPr>
    </w:sdtEndPr>
    <w:sdtContent>
      <w:p w:rsidR="00F963A9" w:rsidRPr="00F963A9" w:rsidRDefault="00F963A9">
        <w:pPr>
          <w:pStyle w:val="Piedepgina"/>
          <w:jc w:val="right"/>
          <w:rPr>
            <w:b/>
            <w:color w:val="BF8F00" w:themeColor="accent4" w:themeShade="BF"/>
          </w:rPr>
        </w:pPr>
        <w:r w:rsidRPr="00F963A9">
          <w:rPr>
            <w:b/>
            <w:color w:val="BF8F00" w:themeColor="accent4" w:themeShade="BF"/>
          </w:rPr>
          <w:fldChar w:fldCharType="begin"/>
        </w:r>
        <w:r w:rsidRPr="00F963A9">
          <w:rPr>
            <w:b/>
            <w:color w:val="BF8F00" w:themeColor="accent4" w:themeShade="BF"/>
          </w:rPr>
          <w:instrText>PAGE   \* MERGEFORMAT</w:instrText>
        </w:r>
        <w:r w:rsidRPr="00F963A9">
          <w:rPr>
            <w:b/>
            <w:color w:val="BF8F00" w:themeColor="accent4" w:themeShade="BF"/>
          </w:rPr>
          <w:fldChar w:fldCharType="separate"/>
        </w:r>
        <w:r w:rsidR="00A13FC6" w:rsidRPr="00A13FC6">
          <w:rPr>
            <w:b/>
            <w:noProof/>
            <w:color w:val="BF8F00" w:themeColor="accent4" w:themeShade="BF"/>
            <w:lang w:val="es-ES"/>
          </w:rPr>
          <w:t>4</w:t>
        </w:r>
        <w:r w:rsidRPr="00F963A9">
          <w:rPr>
            <w:b/>
            <w:color w:val="BF8F00" w:themeColor="accent4" w:themeShade="BF"/>
          </w:rPr>
          <w:fldChar w:fldCharType="end"/>
        </w:r>
      </w:p>
    </w:sdtContent>
  </w:sdt>
  <w:p w:rsidR="00F963A9" w:rsidRDefault="00F963A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2BF2" w:rsidRDefault="00A92BF2" w:rsidP="00F963A9">
      <w:pPr>
        <w:spacing w:after="0" w:line="240" w:lineRule="auto"/>
      </w:pPr>
      <w:r>
        <w:separator/>
      </w:r>
    </w:p>
  </w:footnote>
  <w:footnote w:type="continuationSeparator" w:id="0">
    <w:p w:rsidR="00A92BF2" w:rsidRDefault="00A92BF2" w:rsidP="00F963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3A9" w:rsidRPr="00F963A9" w:rsidRDefault="00237FBA" w:rsidP="00F963A9">
    <w:pPr>
      <w:jc w:val="center"/>
      <w:rPr>
        <w:b/>
        <w:sz w:val="32"/>
      </w:rPr>
    </w:pPr>
    <w:r>
      <w:rPr>
        <w:b/>
        <w:sz w:val="32"/>
      </w:rPr>
      <w:t>7</w:t>
    </w:r>
    <w:r w:rsidR="00F963A9" w:rsidRPr="00F963A9">
      <w:rPr>
        <w:b/>
        <w:sz w:val="32"/>
      </w:rPr>
      <w:t>ª. Reunión de trabajo del subgrupo de Base Jurídica.</w:t>
    </w:r>
  </w:p>
  <w:p w:rsidR="00F963A9" w:rsidRPr="00F963A9" w:rsidRDefault="00237FBA" w:rsidP="00F963A9">
    <w:pPr>
      <w:jc w:val="right"/>
    </w:pPr>
    <w:r>
      <w:t>Lun</w:t>
    </w:r>
    <w:r w:rsidR="00454C63">
      <w:t>es</w:t>
    </w:r>
    <w:r w:rsidR="00F963A9" w:rsidRPr="00F963A9">
      <w:t xml:space="preserve"> </w:t>
    </w:r>
    <w:r>
      <w:t>23</w:t>
    </w:r>
    <w:r w:rsidR="00F963A9" w:rsidRPr="00F963A9">
      <w:t xml:space="preserve"> de </w:t>
    </w:r>
    <w:r w:rsidR="004F4769">
      <w:t>septiembre</w:t>
    </w:r>
    <w:r w:rsidR="00F963A9" w:rsidRPr="00F963A9">
      <w:t xml:space="preserve"> del 2019.</w:t>
    </w:r>
  </w:p>
  <w:p w:rsidR="00F963A9" w:rsidRDefault="00F963A9">
    <w:pPr>
      <w:pStyle w:val="Encabezado"/>
    </w:pPr>
  </w:p>
  <w:p w:rsidR="00F963A9" w:rsidRDefault="00F963A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77885"/>
    <w:multiLevelType w:val="hybridMultilevel"/>
    <w:tmpl w:val="665EA10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9B43884"/>
    <w:multiLevelType w:val="hybridMultilevel"/>
    <w:tmpl w:val="AFF008B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BE36EE1"/>
    <w:multiLevelType w:val="multilevel"/>
    <w:tmpl w:val="4B9068DA"/>
    <w:lvl w:ilvl="0">
      <w:start w:val="1"/>
      <w:numFmt w:val="decimal"/>
      <w:lvlText w:val="%1."/>
      <w:lvlJc w:val="left"/>
      <w:pPr>
        <w:ind w:left="360" w:hanging="360"/>
      </w:pPr>
    </w:lvl>
    <w:lvl w:ilvl="1">
      <w:start w:val="1"/>
      <w:numFmt w:val="decimal"/>
      <w:lvlText w:val="%1.%2."/>
      <w:lvlJc w:val="left"/>
      <w:pPr>
        <w:ind w:left="792" w:hanging="432"/>
      </w:pPr>
      <w:rPr>
        <w:color w:val="2F5496" w:themeColor="accent5" w:themeShade="BF"/>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8E312C2"/>
    <w:multiLevelType w:val="hybridMultilevel"/>
    <w:tmpl w:val="21FE7A1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CDA4AC8"/>
    <w:multiLevelType w:val="hybridMultilevel"/>
    <w:tmpl w:val="526A231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F2120B1"/>
    <w:multiLevelType w:val="hybridMultilevel"/>
    <w:tmpl w:val="0D0CE4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112540D"/>
    <w:multiLevelType w:val="hybridMultilevel"/>
    <w:tmpl w:val="817E2B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95B3D48"/>
    <w:multiLevelType w:val="hybridMultilevel"/>
    <w:tmpl w:val="896C5F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7FC27CC8"/>
    <w:multiLevelType w:val="hybridMultilevel"/>
    <w:tmpl w:val="7CA8B206"/>
    <w:lvl w:ilvl="0" w:tplc="080A0017">
      <w:start w:val="1"/>
      <w:numFmt w:val="lowerLetter"/>
      <w:lvlText w:val="%1)"/>
      <w:lvlJc w:val="left"/>
      <w:pPr>
        <w:ind w:left="720" w:hanging="360"/>
      </w:pPr>
      <w:rPr>
        <w:rFonts w:hint="default"/>
      </w:rPr>
    </w:lvl>
    <w:lvl w:ilvl="1" w:tplc="080A001B">
      <w:start w:val="1"/>
      <w:numFmt w:val="low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8"/>
  </w:num>
  <w:num w:numId="3">
    <w:abstractNumId w:val="5"/>
  </w:num>
  <w:num w:numId="4">
    <w:abstractNumId w:val="3"/>
  </w:num>
  <w:num w:numId="5">
    <w:abstractNumId w:val="4"/>
  </w:num>
  <w:num w:numId="6">
    <w:abstractNumId w:val="6"/>
  </w:num>
  <w:num w:numId="7">
    <w:abstractNumId w:val="2"/>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81E"/>
    <w:rsid w:val="000C62BB"/>
    <w:rsid w:val="00113F1A"/>
    <w:rsid w:val="00135633"/>
    <w:rsid w:val="001650A6"/>
    <w:rsid w:val="00193A01"/>
    <w:rsid w:val="00213DED"/>
    <w:rsid w:val="00237FBA"/>
    <w:rsid w:val="00260E89"/>
    <w:rsid w:val="002D2482"/>
    <w:rsid w:val="00312CD7"/>
    <w:rsid w:val="00324399"/>
    <w:rsid w:val="004528B8"/>
    <w:rsid w:val="00454C63"/>
    <w:rsid w:val="004A781E"/>
    <w:rsid w:val="004F4769"/>
    <w:rsid w:val="00511B19"/>
    <w:rsid w:val="006131ED"/>
    <w:rsid w:val="0063374C"/>
    <w:rsid w:val="00681CB1"/>
    <w:rsid w:val="00707616"/>
    <w:rsid w:val="007C0BD4"/>
    <w:rsid w:val="00943533"/>
    <w:rsid w:val="00950C99"/>
    <w:rsid w:val="00A13FC6"/>
    <w:rsid w:val="00A775BA"/>
    <w:rsid w:val="00A92BF2"/>
    <w:rsid w:val="00AD0636"/>
    <w:rsid w:val="00B32FDC"/>
    <w:rsid w:val="00B470BA"/>
    <w:rsid w:val="00B778DC"/>
    <w:rsid w:val="00C20914"/>
    <w:rsid w:val="00C333D6"/>
    <w:rsid w:val="00C52089"/>
    <w:rsid w:val="00C53C2B"/>
    <w:rsid w:val="00C900EA"/>
    <w:rsid w:val="00CC5E17"/>
    <w:rsid w:val="00CE3840"/>
    <w:rsid w:val="00CF1CFB"/>
    <w:rsid w:val="00D45DD6"/>
    <w:rsid w:val="00D62DFA"/>
    <w:rsid w:val="00DD5D66"/>
    <w:rsid w:val="00E1065D"/>
    <w:rsid w:val="00EF6C9E"/>
    <w:rsid w:val="00F54BCF"/>
    <w:rsid w:val="00F963A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ED4CBB5-4461-4258-A977-7EDC1EB2D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ndara" w:eastAsiaTheme="minorHAnsi" w:hAnsi="Candara" w:cs="Calibri"/>
        <w:sz w:val="24"/>
        <w:szCs w:val="24"/>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781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A781E"/>
    <w:pPr>
      <w:ind w:left="720"/>
      <w:contextualSpacing/>
    </w:pPr>
  </w:style>
  <w:style w:type="table" w:styleId="Tablaconcuadrcula">
    <w:name w:val="Table Grid"/>
    <w:basedOn w:val="Tablanormal"/>
    <w:uiPriority w:val="39"/>
    <w:rsid w:val="00C520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F963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963A9"/>
  </w:style>
  <w:style w:type="paragraph" w:styleId="Piedepgina">
    <w:name w:val="footer"/>
    <w:basedOn w:val="Normal"/>
    <w:link w:val="PiedepginaCar"/>
    <w:uiPriority w:val="99"/>
    <w:unhideWhenUsed/>
    <w:rsid w:val="00F963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963A9"/>
  </w:style>
  <w:style w:type="paragraph" w:styleId="Textodeglobo">
    <w:name w:val="Balloon Text"/>
    <w:basedOn w:val="Normal"/>
    <w:link w:val="TextodegloboCar"/>
    <w:uiPriority w:val="99"/>
    <w:semiHidden/>
    <w:unhideWhenUsed/>
    <w:rsid w:val="00B470B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470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489</TotalTime>
  <Pages>4</Pages>
  <Words>736</Words>
  <Characters>4051</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Zamora Garcia</dc:creator>
  <cp:keywords/>
  <dc:description/>
  <cp:lastModifiedBy>Catalina Rodriguez Mendoza</cp:lastModifiedBy>
  <cp:revision>7</cp:revision>
  <cp:lastPrinted>2019-09-23T18:28:00Z</cp:lastPrinted>
  <dcterms:created xsi:type="dcterms:W3CDTF">2019-09-25T16:08:00Z</dcterms:created>
  <dcterms:modified xsi:type="dcterms:W3CDTF">2019-10-05T00:55:00Z</dcterms:modified>
</cp:coreProperties>
</file>