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04" w:rsidRPr="00362004" w:rsidRDefault="00362004" w:rsidP="00362004">
      <w:pPr>
        <w:jc w:val="center"/>
        <w:rPr>
          <w:b/>
        </w:rPr>
      </w:pPr>
      <w:r w:rsidRPr="00362004">
        <w:rPr>
          <w:b/>
        </w:rPr>
        <w:t>GRUPO DE TRABAJO DEL EJE ESTRUCTURA Y FUNCIONAMIENTO</w:t>
      </w:r>
      <w:bookmarkStart w:id="0" w:name="_GoBack"/>
      <w:bookmarkEnd w:id="0"/>
    </w:p>
    <w:tbl>
      <w:tblPr>
        <w:tblStyle w:val="Tablaconcuadrcula"/>
        <w:tblpPr w:leftFromText="141" w:rightFromText="141" w:vertAnchor="text" w:tblpY="1"/>
        <w:tblOverlap w:val="never"/>
        <w:tblW w:w="160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86"/>
        <w:gridCol w:w="1843"/>
        <w:gridCol w:w="2835"/>
        <w:gridCol w:w="2693"/>
        <w:gridCol w:w="2127"/>
        <w:gridCol w:w="4819"/>
      </w:tblGrid>
      <w:tr w:rsidR="00362004" w:rsidRPr="00E22B0E" w:rsidTr="00DE1581">
        <w:trPr>
          <w:trHeight w:val="825"/>
        </w:trPr>
        <w:tc>
          <w:tcPr>
            <w:tcW w:w="1686" w:type="dxa"/>
            <w:shd w:val="clear" w:color="auto" w:fill="92D050"/>
            <w:vAlign w:val="center"/>
          </w:tcPr>
          <w:p w:rsidR="00362004" w:rsidRPr="00E22B0E" w:rsidRDefault="00362004" w:rsidP="00DE1581">
            <w:pPr>
              <w:tabs>
                <w:tab w:val="left" w:pos="6990"/>
              </w:tabs>
              <w:jc w:val="center"/>
              <w:rPr>
                <w:rFonts w:cstheme="minorHAnsi"/>
                <w:b/>
                <w:color w:val="404040" w:themeColor="text1" w:themeTint="BF"/>
              </w:rPr>
            </w:pPr>
            <w:r w:rsidRPr="00E22B0E">
              <w:rPr>
                <w:rFonts w:cstheme="minorHAnsi"/>
                <w:b/>
                <w:color w:val="404040" w:themeColor="text1" w:themeTint="BF"/>
              </w:rPr>
              <w:t>Pregunta</w:t>
            </w:r>
          </w:p>
        </w:tc>
        <w:tc>
          <w:tcPr>
            <w:tcW w:w="1843" w:type="dxa"/>
            <w:shd w:val="clear" w:color="auto" w:fill="92D050"/>
          </w:tcPr>
          <w:p w:rsidR="00362004" w:rsidRPr="00E22B0E" w:rsidRDefault="00362004" w:rsidP="00DE1581">
            <w:pPr>
              <w:tabs>
                <w:tab w:val="left" w:pos="6990"/>
              </w:tabs>
              <w:jc w:val="center"/>
              <w:rPr>
                <w:rFonts w:cstheme="minorHAnsi"/>
                <w:b/>
                <w:color w:val="404040" w:themeColor="text1" w:themeTint="BF"/>
              </w:rPr>
            </w:pPr>
          </w:p>
          <w:p w:rsidR="00362004" w:rsidRPr="00E22B0E" w:rsidRDefault="00362004" w:rsidP="00DE1581">
            <w:pPr>
              <w:tabs>
                <w:tab w:val="left" w:pos="6990"/>
              </w:tabs>
              <w:jc w:val="center"/>
              <w:rPr>
                <w:rFonts w:cstheme="minorHAnsi"/>
                <w:b/>
                <w:color w:val="404040" w:themeColor="text1" w:themeTint="BF"/>
              </w:rPr>
            </w:pPr>
            <w:r w:rsidRPr="00E22B0E">
              <w:rPr>
                <w:rFonts w:cstheme="minorHAnsi"/>
                <w:b/>
                <w:color w:val="404040" w:themeColor="text1" w:themeTint="BF"/>
              </w:rPr>
              <w:t>Rosanna</w:t>
            </w:r>
          </w:p>
        </w:tc>
        <w:tc>
          <w:tcPr>
            <w:tcW w:w="2835" w:type="dxa"/>
            <w:shd w:val="clear" w:color="auto" w:fill="92D050"/>
          </w:tcPr>
          <w:p w:rsidR="00362004" w:rsidRPr="00E22B0E" w:rsidRDefault="00362004" w:rsidP="00DE1581">
            <w:pPr>
              <w:tabs>
                <w:tab w:val="left" w:pos="6990"/>
              </w:tabs>
              <w:jc w:val="center"/>
              <w:rPr>
                <w:rFonts w:cstheme="minorHAnsi"/>
                <w:b/>
                <w:color w:val="404040" w:themeColor="text1" w:themeTint="BF"/>
              </w:rPr>
            </w:pPr>
          </w:p>
          <w:p w:rsidR="00362004" w:rsidRPr="00E22B0E" w:rsidRDefault="00362004" w:rsidP="00DE1581">
            <w:pPr>
              <w:tabs>
                <w:tab w:val="left" w:pos="6990"/>
              </w:tabs>
              <w:jc w:val="center"/>
              <w:rPr>
                <w:rFonts w:cstheme="minorHAnsi"/>
                <w:b/>
                <w:color w:val="404040" w:themeColor="text1" w:themeTint="BF"/>
              </w:rPr>
            </w:pPr>
            <w:r w:rsidRPr="00E22B0E">
              <w:rPr>
                <w:rFonts w:cstheme="minorHAnsi"/>
                <w:b/>
                <w:color w:val="404040" w:themeColor="text1" w:themeTint="BF"/>
              </w:rPr>
              <w:t>Octavio</w:t>
            </w:r>
          </w:p>
        </w:tc>
        <w:tc>
          <w:tcPr>
            <w:tcW w:w="2693" w:type="dxa"/>
            <w:shd w:val="clear" w:color="auto" w:fill="92D050"/>
          </w:tcPr>
          <w:p w:rsidR="00362004" w:rsidRPr="00E22B0E" w:rsidRDefault="00362004" w:rsidP="00DE1581">
            <w:pPr>
              <w:tabs>
                <w:tab w:val="left" w:pos="6990"/>
              </w:tabs>
              <w:jc w:val="center"/>
              <w:rPr>
                <w:rFonts w:cstheme="minorHAnsi"/>
                <w:b/>
                <w:color w:val="404040" w:themeColor="text1" w:themeTint="BF"/>
              </w:rPr>
            </w:pPr>
          </w:p>
          <w:p w:rsidR="00362004" w:rsidRPr="00E22B0E" w:rsidRDefault="00362004" w:rsidP="00DE1581">
            <w:pPr>
              <w:tabs>
                <w:tab w:val="left" w:pos="6990"/>
              </w:tabs>
              <w:jc w:val="center"/>
              <w:rPr>
                <w:rFonts w:cstheme="minorHAnsi"/>
                <w:b/>
                <w:color w:val="404040" w:themeColor="text1" w:themeTint="BF"/>
              </w:rPr>
            </w:pPr>
            <w:r w:rsidRPr="00E22B0E">
              <w:rPr>
                <w:rFonts w:cstheme="minorHAnsi"/>
                <w:b/>
                <w:color w:val="404040" w:themeColor="text1" w:themeTint="BF"/>
              </w:rPr>
              <w:t>SADER</w:t>
            </w:r>
          </w:p>
        </w:tc>
        <w:tc>
          <w:tcPr>
            <w:tcW w:w="2127" w:type="dxa"/>
            <w:shd w:val="clear" w:color="auto" w:fill="92D050"/>
          </w:tcPr>
          <w:p w:rsidR="00362004" w:rsidRPr="00E22B0E" w:rsidRDefault="00362004" w:rsidP="00DE1581">
            <w:pPr>
              <w:tabs>
                <w:tab w:val="left" w:pos="6990"/>
              </w:tabs>
              <w:jc w:val="center"/>
              <w:rPr>
                <w:rFonts w:cstheme="minorHAnsi"/>
                <w:b/>
                <w:color w:val="404040" w:themeColor="text1" w:themeTint="BF"/>
              </w:rPr>
            </w:pPr>
          </w:p>
          <w:p w:rsidR="00362004" w:rsidRPr="00E22B0E" w:rsidRDefault="00362004" w:rsidP="00DE1581">
            <w:pPr>
              <w:tabs>
                <w:tab w:val="left" w:pos="6990"/>
              </w:tabs>
              <w:jc w:val="center"/>
              <w:rPr>
                <w:rFonts w:cstheme="minorHAnsi"/>
                <w:b/>
                <w:color w:val="404040" w:themeColor="text1" w:themeTint="BF"/>
              </w:rPr>
            </w:pPr>
            <w:r w:rsidRPr="00E22B0E">
              <w:rPr>
                <w:rFonts w:cstheme="minorHAnsi"/>
                <w:b/>
                <w:color w:val="404040" w:themeColor="text1" w:themeTint="BF"/>
              </w:rPr>
              <w:t>Juan Carlos</w:t>
            </w:r>
          </w:p>
        </w:tc>
        <w:tc>
          <w:tcPr>
            <w:tcW w:w="4819" w:type="dxa"/>
            <w:shd w:val="clear" w:color="auto" w:fill="92D050"/>
          </w:tcPr>
          <w:p w:rsidR="00362004" w:rsidRDefault="00362004" w:rsidP="00DE1581">
            <w:pPr>
              <w:tabs>
                <w:tab w:val="left" w:pos="6990"/>
              </w:tabs>
              <w:jc w:val="center"/>
              <w:rPr>
                <w:rFonts w:cstheme="minorHAnsi"/>
                <w:b/>
                <w:color w:val="404040" w:themeColor="text1" w:themeTint="BF"/>
              </w:rPr>
            </w:pPr>
            <w:r>
              <w:rPr>
                <w:rFonts w:cstheme="minorHAnsi"/>
                <w:b/>
                <w:color w:val="404040" w:themeColor="text1" w:themeTint="BF"/>
              </w:rPr>
              <w:t>CONSENSO DEL GRUPO</w:t>
            </w:r>
          </w:p>
          <w:p w:rsidR="00710915" w:rsidRPr="00710915" w:rsidRDefault="00710915" w:rsidP="00710915">
            <w:pPr>
              <w:jc w:val="center"/>
              <w:rPr>
                <w:b/>
              </w:rPr>
            </w:pPr>
            <w:r w:rsidRPr="00710915">
              <w:rPr>
                <w:b/>
              </w:rPr>
              <w:t>24 Septiembre de 2019</w:t>
            </w:r>
          </w:p>
          <w:p w:rsidR="00710915" w:rsidRPr="00E22B0E" w:rsidRDefault="00710915" w:rsidP="00DE1581">
            <w:pPr>
              <w:tabs>
                <w:tab w:val="left" w:pos="6990"/>
              </w:tabs>
              <w:jc w:val="center"/>
              <w:rPr>
                <w:rFonts w:cstheme="minorHAnsi"/>
                <w:b/>
                <w:color w:val="404040" w:themeColor="text1" w:themeTint="BF"/>
              </w:rPr>
            </w:pPr>
          </w:p>
        </w:tc>
      </w:tr>
      <w:tr w:rsidR="00362004" w:rsidRPr="00E22B0E" w:rsidTr="00DE1581">
        <w:trPr>
          <w:trHeight w:val="2051"/>
        </w:trPr>
        <w:tc>
          <w:tcPr>
            <w:tcW w:w="1686" w:type="dxa"/>
            <w:vAlign w:val="center"/>
          </w:tcPr>
          <w:p w:rsidR="00362004" w:rsidRPr="00E22B0E" w:rsidRDefault="00362004" w:rsidP="00DE1581">
            <w:pPr>
              <w:tabs>
                <w:tab w:val="left" w:pos="6990"/>
              </w:tabs>
              <w:jc w:val="center"/>
              <w:rPr>
                <w:rFonts w:cstheme="minorHAnsi"/>
              </w:rPr>
            </w:pPr>
            <w:r w:rsidRPr="00E22B0E">
              <w:rPr>
                <w:rFonts w:cstheme="minorHAnsi"/>
              </w:rPr>
              <w:t>¿Cómo se darán los espacios de interacción entre los diferentes actores de la Consulta?</w:t>
            </w:r>
          </w:p>
        </w:tc>
        <w:tc>
          <w:tcPr>
            <w:tcW w:w="1843" w:type="dxa"/>
            <w:vAlign w:val="center"/>
          </w:tcPr>
          <w:p w:rsidR="00362004" w:rsidRPr="00E22B0E" w:rsidRDefault="00362004" w:rsidP="00DE1581">
            <w:pPr>
              <w:tabs>
                <w:tab w:val="left" w:pos="6990"/>
              </w:tabs>
              <w:jc w:val="both"/>
              <w:rPr>
                <w:rFonts w:cstheme="minorHAnsi"/>
              </w:rPr>
            </w:pPr>
            <w:r w:rsidRPr="00E22B0E">
              <w:rPr>
                <w:rFonts w:cstheme="minorHAnsi"/>
              </w:rPr>
              <w:t>Los espacios de interacción serán las reuniones a través de las distintas Comisiones, para tratar temas en particular y a través de reuniones en Pleno.</w:t>
            </w:r>
          </w:p>
        </w:tc>
        <w:tc>
          <w:tcPr>
            <w:tcW w:w="2835" w:type="dxa"/>
          </w:tcPr>
          <w:p w:rsidR="00362004" w:rsidRPr="00E22B0E" w:rsidRDefault="00362004" w:rsidP="00DE1581">
            <w:pPr>
              <w:autoSpaceDE w:val="0"/>
              <w:autoSpaceDN w:val="0"/>
              <w:adjustRightInd w:val="0"/>
              <w:jc w:val="both"/>
              <w:rPr>
                <w:rFonts w:cstheme="minorHAnsi"/>
              </w:rPr>
            </w:pPr>
            <w:r w:rsidRPr="00E22B0E">
              <w:rPr>
                <w:rFonts w:cstheme="minorHAnsi"/>
              </w:rPr>
              <w:t>Debemos partir a través de una nuevo modelo de CMDRS para hacerlo más inclusivo, amplio, focalizado y especializado en las consultas. Partiendo de una AGENDA de corto, mediano y largo plazos que se desprenden del PND, PROGRAMAS SECTORIALES Y DE MANERA FUNDAMENTAL DEL NUEVO PEC 2019-2014. Que reconozca entre otros los ODS, diseño de políticas al 2030-2050.</w:t>
            </w:r>
          </w:p>
          <w:p w:rsidR="00362004" w:rsidRPr="00E22B0E" w:rsidRDefault="00362004" w:rsidP="00DE1581">
            <w:pPr>
              <w:autoSpaceDE w:val="0"/>
              <w:autoSpaceDN w:val="0"/>
              <w:adjustRightInd w:val="0"/>
              <w:jc w:val="both"/>
              <w:rPr>
                <w:rFonts w:cstheme="minorHAnsi"/>
              </w:rPr>
            </w:pPr>
            <w:r w:rsidRPr="00E22B0E">
              <w:rPr>
                <w:rFonts w:cstheme="minorHAnsi"/>
              </w:rPr>
              <w:t xml:space="preserve">Reconocer que en el marco de la LDRS el CMDRS basa sus consultas en diseño y aplicación de políticas públicas primero. Por último es necesario abrir los espacios de consulta a Agencias y actores especializados, cada vez es más compleja la Administración de riesgos en las actividades agrícolas y no </w:t>
            </w:r>
            <w:r w:rsidRPr="00E22B0E">
              <w:rPr>
                <w:rFonts w:cstheme="minorHAnsi"/>
              </w:rPr>
              <w:lastRenderedPageBreak/>
              <w:t>solo deben compensarse con subsidios directos.</w:t>
            </w:r>
          </w:p>
          <w:p w:rsidR="00362004" w:rsidRPr="00E22B0E" w:rsidRDefault="00362004" w:rsidP="00DE1581">
            <w:pPr>
              <w:tabs>
                <w:tab w:val="left" w:pos="6990"/>
              </w:tabs>
              <w:jc w:val="both"/>
              <w:rPr>
                <w:rFonts w:cstheme="minorHAnsi"/>
              </w:rPr>
            </w:pPr>
          </w:p>
          <w:p w:rsidR="00362004" w:rsidRPr="00E22B0E" w:rsidRDefault="00362004" w:rsidP="00DE1581">
            <w:pPr>
              <w:tabs>
                <w:tab w:val="left" w:pos="6990"/>
              </w:tabs>
              <w:jc w:val="both"/>
              <w:rPr>
                <w:rFonts w:cstheme="minorHAnsi"/>
              </w:rPr>
            </w:pPr>
            <w:r w:rsidRPr="00E22B0E">
              <w:rPr>
                <w:rFonts w:cstheme="minorHAnsi"/>
              </w:rPr>
              <w:t>Nota: Como referencia al Reglamento del nuevo CMDRS debe reconocerse la inclusión de la participación de las representaciones territoriales a través de los CEDRS y en su caso promover la instalación de Consejo Regionales, que pueden abordar temas comunes como Medio Ambiente y Cambio Climático, Desarrollo de Mercados Regionales, Proyectos de Infraestructura como caminos, puertos, infraestructura de almacenamiento y de manera fundamental las Sanidades, entre otros.</w:t>
            </w:r>
          </w:p>
        </w:tc>
        <w:tc>
          <w:tcPr>
            <w:tcW w:w="2693" w:type="dxa"/>
          </w:tcPr>
          <w:p w:rsidR="00362004" w:rsidRPr="00E22B0E" w:rsidRDefault="00362004" w:rsidP="00DE1581">
            <w:pPr>
              <w:tabs>
                <w:tab w:val="left" w:pos="6990"/>
              </w:tabs>
              <w:jc w:val="both"/>
              <w:rPr>
                <w:rFonts w:cstheme="minorHAnsi"/>
              </w:rPr>
            </w:pPr>
            <w:r w:rsidRPr="00E22B0E">
              <w:rPr>
                <w:rFonts w:cstheme="minorHAnsi"/>
              </w:rPr>
              <w:lastRenderedPageBreak/>
              <w:t>Con la finalidad de fomentar una amplia  participación ciudadana entre los  actores del medio rural  (productores y agentes de la sociedad rural) con el Gobierno Federal  se impulsara la participación en espacios en donde todos los involucrados interactúen emitiendo opiniones sobre lo referente al sector rural y participando en las acciones de difusión.</w:t>
            </w:r>
          </w:p>
          <w:p w:rsidR="00362004" w:rsidRPr="00E22B0E" w:rsidRDefault="00362004" w:rsidP="00DE1581">
            <w:pPr>
              <w:tabs>
                <w:tab w:val="left" w:pos="6990"/>
              </w:tabs>
              <w:jc w:val="both"/>
              <w:rPr>
                <w:rFonts w:cstheme="minorHAnsi"/>
              </w:rPr>
            </w:pPr>
            <w:r w:rsidRPr="00E22B0E">
              <w:rPr>
                <w:rFonts w:cstheme="minorHAnsi"/>
              </w:rPr>
              <w:t>Estos espacios de interacción y participación ciudadana se darán a nivel :</w:t>
            </w:r>
          </w:p>
          <w:p w:rsidR="00362004" w:rsidRPr="00E22B0E" w:rsidRDefault="00362004" w:rsidP="00DE1581">
            <w:pPr>
              <w:pStyle w:val="Prrafodelista"/>
              <w:tabs>
                <w:tab w:val="left" w:pos="6990"/>
              </w:tabs>
              <w:ind w:left="1440"/>
              <w:jc w:val="both"/>
              <w:rPr>
                <w:rFonts w:cstheme="minorHAnsi"/>
              </w:rPr>
            </w:pPr>
            <w:r w:rsidRPr="00E22B0E">
              <w:rPr>
                <w:rFonts w:cstheme="minorHAnsi"/>
              </w:rPr>
              <w:t>Federal ( Consejo Mexicano para el Desarrollo Rural Sustentable)</w:t>
            </w:r>
          </w:p>
          <w:p w:rsidR="00362004" w:rsidRPr="00E22B0E" w:rsidRDefault="00362004" w:rsidP="00DE1581">
            <w:pPr>
              <w:pStyle w:val="Prrafodelista"/>
              <w:numPr>
                <w:ilvl w:val="0"/>
                <w:numId w:val="1"/>
              </w:numPr>
              <w:tabs>
                <w:tab w:val="left" w:pos="6990"/>
              </w:tabs>
              <w:jc w:val="both"/>
              <w:rPr>
                <w:rFonts w:cstheme="minorHAnsi"/>
              </w:rPr>
            </w:pPr>
            <w:r w:rsidRPr="00E22B0E">
              <w:rPr>
                <w:rFonts w:cstheme="minorHAnsi"/>
              </w:rPr>
              <w:lastRenderedPageBreak/>
              <w:t>Estatal (Consejo Estatal)</w:t>
            </w:r>
          </w:p>
          <w:p w:rsidR="00362004" w:rsidRPr="00E22B0E" w:rsidRDefault="00362004" w:rsidP="00DE1581">
            <w:pPr>
              <w:pStyle w:val="Prrafodelista"/>
              <w:tabs>
                <w:tab w:val="left" w:pos="6990"/>
              </w:tabs>
              <w:ind w:left="1440"/>
              <w:jc w:val="both"/>
              <w:rPr>
                <w:rFonts w:cstheme="minorHAnsi"/>
              </w:rPr>
            </w:pPr>
            <w:r w:rsidRPr="00E22B0E">
              <w:rPr>
                <w:rFonts w:cstheme="minorHAnsi"/>
                <w:color w:val="FF0000"/>
              </w:rPr>
              <w:t>*</w:t>
            </w:r>
            <w:r w:rsidRPr="00E22B0E">
              <w:rPr>
                <w:rFonts w:cstheme="minorHAnsi"/>
              </w:rPr>
              <w:t>Regional (Consejo Regional)</w:t>
            </w:r>
          </w:p>
          <w:p w:rsidR="00362004" w:rsidRPr="00E22B0E" w:rsidRDefault="00362004" w:rsidP="00DE1581">
            <w:pPr>
              <w:pStyle w:val="Prrafodelista"/>
              <w:numPr>
                <w:ilvl w:val="0"/>
                <w:numId w:val="1"/>
              </w:numPr>
              <w:tabs>
                <w:tab w:val="left" w:pos="6990"/>
              </w:tabs>
              <w:jc w:val="both"/>
              <w:rPr>
                <w:rFonts w:cstheme="minorHAnsi"/>
              </w:rPr>
            </w:pPr>
            <w:r w:rsidRPr="00E22B0E">
              <w:rPr>
                <w:rFonts w:cstheme="minorHAnsi"/>
              </w:rPr>
              <w:t>Municipal (Consejo Municipal)</w:t>
            </w:r>
          </w:p>
          <w:p w:rsidR="00362004" w:rsidRPr="00E22B0E" w:rsidRDefault="00362004" w:rsidP="00DE1581">
            <w:pPr>
              <w:tabs>
                <w:tab w:val="left" w:pos="6990"/>
              </w:tabs>
              <w:jc w:val="both"/>
              <w:rPr>
                <w:rFonts w:cstheme="minorHAnsi"/>
              </w:rPr>
            </w:pPr>
            <w:r w:rsidRPr="00E22B0E">
              <w:rPr>
                <w:rFonts w:cstheme="minorHAnsi"/>
              </w:rPr>
              <w:t>Los espacios de participación con los actores involucrados serán realizados en lugares físicos y virtuales, en los físicos se toma en cuenta la disponibilidad  de  instalaciones físicas de los  gobiernos, en los virtuales se utilizarán plataformas  en donde se pueda llevar acabo el intercambio de información.</w:t>
            </w:r>
          </w:p>
          <w:p w:rsidR="00362004" w:rsidRPr="00E22B0E" w:rsidRDefault="00362004" w:rsidP="00DE1581">
            <w:pPr>
              <w:tabs>
                <w:tab w:val="left" w:pos="6990"/>
              </w:tabs>
              <w:jc w:val="both"/>
              <w:rPr>
                <w:rFonts w:cstheme="minorHAnsi"/>
              </w:rPr>
            </w:pPr>
          </w:p>
          <w:p w:rsidR="00362004" w:rsidRPr="00E22B0E" w:rsidRDefault="00362004" w:rsidP="00DE1581">
            <w:pPr>
              <w:tabs>
                <w:tab w:val="left" w:pos="6990"/>
              </w:tabs>
              <w:jc w:val="both"/>
              <w:rPr>
                <w:rFonts w:cstheme="minorHAnsi"/>
              </w:rPr>
            </w:pPr>
            <w:r w:rsidRPr="00E22B0E">
              <w:rPr>
                <w:rFonts w:cstheme="minorHAnsi"/>
              </w:rPr>
              <w:t xml:space="preserve">Aunado a esto la SADER considera que para temas específicos que sean de su interés, generará un espacio de participación  de los actores del sector rural  en dónde se tomarán en cuenta sus opiniones y recomendaciones,  para </w:t>
            </w:r>
            <w:r w:rsidRPr="00E22B0E">
              <w:rPr>
                <w:rFonts w:cstheme="minorHAnsi"/>
              </w:rPr>
              <w:lastRenderedPageBreak/>
              <w:t>esto integrará un grupo reducido de actores del CMDRS elegido por los mismos integrantes del CMDRS quien participara en  estas reuniones periódicas en donde se podrá contar con  el Presidente del CMDRS subsecretarias y funcionarios de la SADER.</w:t>
            </w:r>
          </w:p>
        </w:tc>
        <w:tc>
          <w:tcPr>
            <w:tcW w:w="2127" w:type="dxa"/>
          </w:tcPr>
          <w:p w:rsidR="00362004" w:rsidRPr="00E22B0E" w:rsidRDefault="00362004" w:rsidP="00DE1581">
            <w:pPr>
              <w:jc w:val="both"/>
              <w:rPr>
                <w:rFonts w:cstheme="minorHAnsi"/>
              </w:rPr>
            </w:pPr>
            <w:r w:rsidRPr="00E22B0E">
              <w:rPr>
                <w:rFonts w:cstheme="minorHAnsi"/>
              </w:rPr>
              <w:lastRenderedPageBreak/>
              <w:t>Se deberán respetar los espacios y mecanismos definidos en la LDRS, incorporándose las nuevas herramientas electrónicas disponibles, tales como portales de internet, correo y encuestas electrónicas, etc., pero también se deberá de tener un diagnóstico claro de quienes son los “actores”, esto es, qué organizaciones participantes están vigentes y buscar formas de actualizar y propiciar su participación.</w:t>
            </w:r>
          </w:p>
          <w:p w:rsidR="00362004" w:rsidRPr="00E22B0E" w:rsidRDefault="00362004" w:rsidP="00DE1581">
            <w:pPr>
              <w:tabs>
                <w:tab w:val="left" w:pos="6990"/>
              </w:tabs>
              <w:jc w:val="both"/>
              <w:rPr>
                <w:rFonts w:cstheme="minorHAnsi"/>
              </w:rPr>
            </w:pPr>
          </w:p>
        </w:tc>
        <w:tc>
          <w:tcPr>
            <w:tcW w:w="4819" w:type="dxa"/>
          </w:tcPr>
          <w:p w:rsidR="00362004" w:rsidRDefault="00362004" w:rsidP="00DE1581">
            <w:pPr>
              <w:tabs>
                <w:tab w:val="left" w:pos="6990"/>
              </w:tabs>
              <w:jc w:val="both"/>
              <w:rPr>
                <w:rFonts w:cstheme="minorHAnsi"/>
              </w:rPr>
            </w:pPr>
            <w:r w:rsidRPr="00E22B0E">
              <w:rPr>
                <w:rFonts w:cstheme="minorHAnsi"/>
              </w:rPr>
              <w:t>Estos espacios deben tener un marco de referencia a partir de una agenda de corto, mediano y largo plazo, alineada al PND, Programa Sectorial, al PEC y lo previsto en la LDRS.</w:t>
            </w:r>
          </w:p>
          <w:p w:rsidR="00362004" w:rsidRDefault="00362004" w:rsidP="00DE1581">
            <w:pPr>
              <w:jc w:val="center"/>
              <w:rPr>
                <w:rFonts w:ascii="Montserrat" w:hAnsi="Montserrat"/>
                <w:b/>
                <w:bCs/>
                <w:sz w:val="24"/>
              </w:rPr>
            </w:pPr>
          </w:p>
          <w:p w:rsidR="00362004" w:rsidRDefault="00362004" w:rsidP="00DE1581">
            <w:pPr>
              <w:jc w:val="center"/>
              <w:rPr>
                <w:rFonts w:ascii="Montserrat" w:hAnsi="Montserrat"/>
                <w:b/>
                <w:bCs/>
                <w:sz w:val="24"/>
              </w:rPr>
            </w:pPr>
            <w:r>
              <w:rPr>
                <w:rFonts w:ascii="Montserrat" w:hAnsi="Montserrat"/>
                <w:b/>
                <w:bCs/>
                <w:sz w:val="24"/>
              </w:rPr>
              <w:t>Propuesta de temas para Agenda Estratégica</w:t>
            </w:r>
          </w:p>
          <w:p w:rsidR="00362004" w:rsidRPr="00E014BC" w:rsidRDefault="00362004" w:rsidP="00DE1581">
            <w:pPr>
              <w:jc w:val="center"/>
              <w:rPr>
                <w:rFonts w:ascii="Montserrat" w:hAnsi="Montserrat"/>
                <w:b/>
                <w:bCs/>
                <w:sz w:val="24"/>
              </w:rPr>
            </w:pPr>
          </w:p>
          <w:p w:rsidR="00362004" w:rsidRPr="00976985" w:rsidRDefault="00362004" w:rsidP="00DE1581">
            <w:pPr>
              <w:pStyle w:val="Prrafodelista"/>
              <w:numPr>
                <w:ilvl w:val="0"/>
                <w:numId w:val="2"/>
              </w:numPr>
              <w:rPr>
                <w:rFonts w:cstheme="minorHAnsi"/>
              </w:rPr>
            </w:pPr>
            <w:r w:rsidRPr="00976985">
              <w:rPr>
                <w:rFonts w:cstheme="minorHAnsi"/>
              </w:rPr>
              <w:t>Cambio climático</w:t>
            </w:r>
          </w:p>
          <w:p w:rsidR="00362004" w:rsidRPr="00976985" w:rsidRDefault="00362004" w:rsidP="00DE1581">
            <w:pPr>
              <w:pStyle w:val="Prrafodelista"/>
              <w:numPr>
                <w:ilvl w:val="0"/>
                <w:numId w:val="2"/>
              </w:numPr>
              <w:rPr>
                <w:rFonts w:cstheme="minorHAnsi"/>
              </w:rPr>
            </w:pPr>
            <w:r w:rsidRPr="00976985">
              <w:rPr>
                <w:rFonts w:cstheme="minorHAnsi"/>
              </w:rPr>
              <w:t>Agua</w:t>
            </w:r>
          </w:p>
          <w:p w:rsidR="00362004" w:rsidRPr="00976985" w:rsidRDefault="00362004" w:rsidP="00DE1581">
            <w:pPr>
              <w:pStyle w:val="Prrafodelista"/>
              <w:numPr>
                <w:ilvl w:val="0"/>
                <w:numId w:val="2"/>
              </w:numPr>
              <w:rPr>
                <w:rFonts w:cstheme="minorHAnsi"/>
              </w:rPr>
            </w:pPr>
            <w:r w:rsidRPr="00976985">
              <w:rPr>
                <w:rFonts w:cstheme="minorHAnsi"/>
              </w:rPr>
              <w:t>Comercio interno y externo</w:t>
            </w:r>
          </w:p>
          <w:p w:rsidR="00362004" w:rsidRPr="00976985" w:rsidRDefault="00362004" w:rsidP="00DE1581">
            <w:pPr>
              <w:pStyle w:val="Prrafodelista"/>
              <w:numPr>
                <w:ilvl w:val="0"/>
                <w:numId w:val="2"/>
              </w:numPr>
              <w:rPr>
                <w:rFonts w:cstheme="minorHAnsi"/>
              </w:rPr>
            </w:pPr>
            <w:r w:rsidRPr="00976985">
              <w:rPr>
                <w:rFonts w:cstheme="minorHAnsi"/>
              </w:rPr>
              <w:t>Sanidades</w:t>
            </w:r>
          </w:p>
          <w:p w:rsidR="00362004" w:rsidRPr="00976985" w:rsidRDefault="00362004" w:rsidP="00DE1581">
            <w:pPr>
              <w:pStyle w:val="Prrafodelista"/>
              <w:numPr>
                <w:ilvl w:val="0"/>
                <w:numId w:val="2"/>
              </w:numPr>
              <w:rPr>
                <w:rFonts w:cstheme="minorHAnsi"/>
              </w:rPr>
            </w:pPr>
            <w:r w:rsidRPr="00976985">
              <w:rPr>
                <w:rFonts w:cstheme="minorHAnsi"/>
              </w:rPr>
              <w:t>Medio Ambiente</w:t>
            </w:r>
          </w:p>
          <w:p w:rsidR="00362004" w:rsidRPr="00976985" w:rsidRDefault="00362004" w:rsidP="00DE1581">
            <w:pPr>
              <w:pStyle w:val="Prrafodelista"/>
              <w:numPr>
                <w:ilvl w:val="0"/>
                <w:numId w:val="2"/>
              </w:numPr>
              <w:rPr>
                <w:rFonts w:cstheme="minorHAnsi"/>
              </w:rPr>
            </w:pPr>
            <w:r w:rsidRPr="00976985">
              <w:rPr>
                <w:rFonts w:cstheme="minorHAnsi"/>
              </w:rPr>
              <w:t>Extensionismo</w:t>
            </w:r>
          </w:p>
          <w:p w:rsidR="00362004" w:rsidRPr="00976985" w:rsidRDefault="00362004" w:rsidP="00DE1581">
            <w:pPr>
              <w:pStyle w:val="Prrafodelista"/>
              <w:numPr>
                <w:ilvl w:val="0"/>
                <w:numId w:val="2"/>
              </w:numPr>
              <w:rPr>
                <w:rFonts w:cstheme="minorHAnsi"/>
              </w:rPr>
            </w:pPr>
            <w:r w:rsidRPr="00976985">
              <w:rPr>
                <w:rFonts w:cstheme="minorHAnsi"/>
              </w:rPr>
              <w:t>Transformación e Innovación</w:t>
            </w:r>
          </w:p>
          <w:p w:rsidR="00362004" w:rsidRPr="00976985" w:rsidRDefault="00362004" w:rsidP="00DE1581">
            <w:pPr>
              <w:pStyle w:val="Prrafodelista"/>
              <w:numPr>
                <w:ilvl w:val="0"/>
                <w:numId w:val="2"/>
              </w:numPr>
              <w:rPr>
                <w:rFonts w:cstheme="minorHAnsi"/>
              </w:rPr>
            </w:pPr>
            <w:r w:rsidRPr="00976985">
              <w:rPr>
                <w:rFonts w:cstheme="minorHAnsi"/>
              </w:rPr>
              <w:t>Financiamiento</w:t>
            </w:r>
          </w:p>
          <w:p w:rsidR="00362004" w:rsidRPr="00976985" w:rsidRDefault="00362004" w:rsidP="00DE1581">
            <w:pPr>
              <w:pStyle w:val="Prrafodelista"/>
              <w:numPr>
                <w:ilvl w:val="0"/>
                <w:numId w:val="2"/>
              </w:numPr>
              <w:rPr>
                <w:rFonts w:cstheme="minorHAnsi"/>
              </w:rPr>
            </w:pPr>
            <w:r w:rsidRPr="00976985">
              <w:rPr>
                <w:rFonts w:cstheme="minorHAnsi"/>
              </w:rPr>
              <w:t>Servicios básicos</w:t>
            </w:r>
          </w:p>
          <w:p w:rsidR="00362004" w:rsidRPr="00976985" w:rsidRDefault="00362004" w:rsidP="00DE1581">
            <w:pPr>
              <w:rPr>
                <w:rFonts w:cstheme="minorHAnsi"/>
              </w:rPr>
            </w:pPr>
            <w:r w:rsidRPr="00976985">
              <w:rPr>
                <w:rFonts w:cstheme="minorHAnsi"/>
              </w:rPr>
              <w:t>(</w:t>
            </w:r>
            <w:proofErr w:type="gramStart"/>
            <w:r w:rsidRPr="00976985">
              <w:rPr>
                <w:rFonts w:cstheme="minorHAnsi"/>
              </w:rPr>
              <w:t>por</w:t>
            </w:r>
            <w:proofErr w:type="gramEnd"/>
            <w:r w:rsidRPr="00976985">
              <w:rPr>
                <w:rFonts w:cstheme="minorHAnsi"/>
              </w:rPr>
              <w:t xml:space="preserve"> ejemplo electricidad, agua, luz, caminos, salud, etc.)</w:t>
            </w:r>
          </w:p>
          <w:p w:rsidR="00362004" w:rsidRPr="00E22B0E" w:rsidRDefault="00362004" w:rsidP="00DE1581">
            <w:pPr>
              <w:tabs>
                <w:tab w:val="left" w:pos="6990"/>
              </w:tabs>
              <w:jc w:val="both"/>
              <w:rPr>
                <w:rFonts w:cstheme="minorHAnsi"/>
              </w:rPr>
            </w:pPr>
          </w:p>
          <w:p w:rsidR="00362004" w:rsidRPr="00E22B0E" w:rsidRDefault="00362004" w:rsidP="00DE1581">
            <w:pPr>
              <w:tabs>
                <w:tab w:val="left" w:pos="6990"/>
              </w:tabs>
              <w:jc w:val="both"/>
              <w:rPr>
                <w:rFonts w:cstheme="minorHAnsi"/>
              </w:rPr>
            </w:pPr>
          </w:p>
          <w:p w:rsidR="00362004" w:rsidRPr="00E22B0E" w:rsidRDefault="00362004" w:rsidP="00DE1581">
            <w:pPr>
              <w:jc w:val="both"/>
              <w:rPr>
                <w:rFonts w:cstheme="minorHAnsi"/>
              </w:rPr>
            </w:pPr>
            <w:r w:rsidRPr="00E22B0E">
              <w:rPr>
                <w:rFonts w:cstheme="minorHAnsi"/>
              </w:rPr>
              <w:t xml:space="preserve">Los espacios se darán a través de una red de Consejos: Nacional, </w:t>
            </w:r>
            <w:r w:rsidRPr="00E22B0E">
              <w:rPr>
                <w:rFonts w:cstheme="minorHAnsi"/>
                <w:color w:val="FF0000"/>
              </w:rPr>
              <w:t>*</w:t>
            </w:r>
            <w:r w:rsidRPr="00E22B0E">
              <w:rPr>
                <w:rFonts w:cstheme="minorHAnsi"/>
              </w:rPr>
              <w:t>Regionales, Estatales, Distritales y Municipales,</w:t>
            </w:r>
            <w:r>
              <w:rPr>
                <w:rFonts w:cstheme="minorHAnsi"/>
              </w:rPr>
              <w:t xml:space="preserve"> </w:t>
            </w:r>
            <w:r w:rsidRPr="00E83EE0">
              <w:rPr>
                <w:rFonts w:cstheme="minorHAnsi"/>
                <w:b/>
                <w:sz w:val="24"/>
              </w:rPr>
              <w:t>respetando su autonomía</w:t>
            </w:r>
            <w:r>
              <w:rPr>
                <w:rFonts w:cstheme="minorHAnsi"/>
              </w:rPr>
              <w:t xml:space="preserve"> </w:t>
            </w:r>
            <w:r w:rsidRPr="00E22B0E">
              <w:rPr>
                <w:rFonts w:cstheme="minorHAnsi"/>
              </w:rPr>
              <w:t xml:space="preserve"> con la participación de organizaciones sociales especializadas o representativas, que </w:t>
            </w:r>
            <w:r w:rsidRPr="00E22B0E">
              <w:rPr>
                <w:rFonts w:cstheme="minorHAnsi"/>
              </w:rPr>
              <w:lastRenderedPageBreak/>
              <w:t>permita articular las diversas propuestas que partan de estas y que contribuyan a fortalecer las políticas públicas del sector, promoviendo una plataforma de comunicación y consulta horizontal y vertical entre sus actores.</w:t>
            </w:r>
          </w:p>
          <w:p w:rsidR="00362004" w:rsidRPr="00E22B0E" w:rsidRDefault="00362004" w:rsidP="00DE1581">
            <w:pPr>
              <w:jc w:val="both"/>
              <w:rPr>
                <w:rFonts w:cstheme="minorHAnsi"/>
              </w:rPr>
            </w:pPr>
          </w:p>
          <w:p w:rsidR="00362004" w:rsidRDefault="00362004" w:rsidP="00DE1581">
            <w:pPr>
              <w:jc w:val="both"/>
              <w:rPr>
                <w:rFonts w:cstheme="minorHAnsi"/>
              </w:rPr>
            </w:pPr>
            <w:r w:rsidRPr="00E22B0E">
              <w:rPr>
                <w:rFonts w:cstheme="minorHAnsi"/>
              </w:rPr>
              <w:t>Para el Consejo Nacional  se da el espacio</w:t>
            </w:r>
            <w:r>
              <w:rPr>
                <w:rFonts w:cstheme="minorHAnsi"/>
              </w:rPr>
              <w:t xml:space="preserve"> a</w:t>
            </w:r>
            <w:r w:rsidRPr="00E22B0E">
              <w:rPr>
                <w:rFonts w:cstheme="minorHAnsi"/>
              </w:rPr>
              <w:t xml:space="preserve"> través del pleno y de las Comisiones </w:t>
            </w:r>
            <w:r>
              <w:rPr>
                <w:rFonts w:cstheme="minorHAnsi"/>
              </w:rPr>
              <w:t>*1[</w:t>
            </w:r>
            <w:r w:rsidRPr="00E22B0E">
              <w:rPr>
                <w:rFonts w:cstheme="minorHAnsi"/>
              </w:rPr>
              <w:t>sustantivas y transversales</w:t>
            </w:r>
            <w:r>
              <w:rPr>
                <w:rFonts w:cstheme="minorHAnsi"/>
              </w:rPr>
              <w:t>]</w:t>
            </w:r>
          </w:p>
          <w:p w:rsidR="00362004" w:rsidRDefault="00362004" w:rsidP="00DE1581">
            <w:pPr>
              <w:rPr>
                <w:rFonts w:cstheme="minorHAnsi"/>
              </w:rPr>
            </w:pPr>
          </w:p>
          <w:p w:rsidR="00362004" w:rsidRPr="00E654EA" w:rsidRDefault="00362004" w:rsidP="00DE1581">
            <w:pPr>
              <w:jc w:val="both"/>
              <w:rPr>
                <w:rFonts w:cstheme="minorHAnsi"/>
              </w:rPr>
            </w:pPr>
            <w:r w:rsidRPr="00E654EA">
              <w:rPr>
                <w:rFonts w:cstheme="minorHAnsi"/>
              </w:rPr>
              <w:t xml:space="preserve">El </w:t>
            </w:r>
            <w:r>
              <w:rPr>
                <w:rFonts w:cstheme="minorHAnsi"/>
              </w:rPr>
              <w:t xml:space="preserve">grupo </w:t>
            </w:r>
            <w:r w:rsidRPr="00E654EA">
              <w:rPr>
                <w:rFonts w:cstheme="minorHAnsi"/>
              </w:rPr>
              <w:t>propone</w:t>
            </w:r>
            <w:r>
              <w:rPr>
                <w:rFonts w:cstheme="minorHAnsi"/>
              </w:rPr>
              <w:t xml:space="preserve">  que el pleno del CMDRS designe a través de votación un representante ante la Comisión Intersecretarial, que sea el conducto para llevar ante ella los acuerdos, propuestas y recomendaciones que surjan en este. (se propone que su duración sea por 2 años que permita mayor consistencia en su interlocución con este)</w:t>
            </w:r>
          </w:p>
          <w:p w:rsidR="00362004" w:rsidRDefault="00362004" w:rsidP="00DE1581">
            <w:pPr>
              <w:jc w:val="both"/>
              <w:rPr>
                <w:rFonts w:cstheme="minorHAnsi"/>
              </w:rPr>
            </w:pPr>
          </w:p>
          <w:p w:rsidR="00362004" w:rsidRPr="004509C5" w:rsidRDefault="00362004" w:rsidP="00DE1581">
            <w:pPr>
              <w:jc w:val="both"/>
              <w:rPr>
                <w:rFonts w:cstheme="minorHAnsi"/>
                <w:b/>
                <w:i/>
              </w:rPr>
            </w:pPr>
            <w:r>
              <w:rPr>
                <w:rFonts w:cstheme="minorHAnsi"/>
              </w:rPr>
              <w:t xml:space="preserve">*1 El </w:t>
            </w:r>
            <w:r w:rsidRPr="004509C5">
              <w:rPr>
                <w:rFonts w:cstheme="minorHAnsi"/>
              </w:rPr>
              <w:t xml:space="preserve">Consejero Juan Carlos Arizmendi propone que está discusión sobre predefinir las comisiones como sustantivas y transversales </w:t>
            </w:r>
            <w:proofErr w:type="spellStart"/>
            <w:r w:rsidRPr="004509C5">
              <w:rPr>
                <w:rFonts w:cstheme="minorHAnsi"/>
              </w:rPr>
              <w:t>se de</w:t>
            </w:r>
            <w:proofErr w:type="spellEnd"/>
            <w:r w:rsidRPr="004509C5">
              <w:rPr>
                <w:rFonts w:cstheme="minorHAnsi"/>
              </w:rPr>
              <w:t xml:space="preserve"> posteriormente</w:t>
            </w:r>
            <w:r w:rsidRPr="004509C5">
              <w:rPr>
                <w:rFonts w:cstheme="minorHAnsi"/>
                <w:b/>
              </w:rPr>
              <w:t xml:space="preserve">, </w:t>
            </w:r>
            <w:r w:rsidRPr="004509C5">
              <w:rPr>
                <w:rFonts w:cstheme="minorHAnsi"/>
                <w:b/>
                <w:i/>
              </w:rPr>
              <w:t>los demás integrantes del grupo tienen consenso de predefinir a  las comisiones en sustantivas y transversales.</w:t>
            </w:r>
          </w:p>
          <w:p w:rsidR="00362004" w:rsidRDefault="00362004" w:rsidP="00DE1581">
            <w:pPr>
              <w:jc w:val="both"/>
              <w:rPr>
                <w:rFonts w:cstheme="minorHAnsi"/>
              </w:rPr>
            </w:pPr>
          </w:p>
          <w:p w:rsidR="00362004" w:rsidRDefault="00362004" w:rsidP="00DE1581">
            <w:pPr>
              <w:jc w:val="both"/>
              <w:rPr>
                <w:rFonts w:cstheme="minorHAnsi"/>
              </w:rPr>
            </w:pPr>
          </w:p>
          <w:p w:rsidR="00362004" w:rsidRPr="00E22B0E" w:rsidRDefault="00362004" w:rsidP="00DE1581">
            <w:pPr>
              <w:jc w:val="both"/>
              <w:rPr>
                <w:rFonts w:cstheme="minorHAnsi"/>
              </w:rPr>
            </w:pPr>
          </w:p>
        </w:tc>
      </w:tr>
    </w:tbl>
    <w:p w:rsidR="00362004" w:rsidRDefault="00362004"/>
    <w:p w:rsidR="00362004" w:rsidRDefault="00362004"/>
    <w:sectPr w:rsidR="00362004" w:rsidSect="00710915">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libri"/>
    <w:panose1 w:val="02000505000000020004"/>
    <w:charset w:val="00"/>
    <w:family w:val="auto"/>
    <w:pitch w:val="variable"/>
    <w:sig w:usb0="A000022F" w:usb1="4000204A"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53655"/>
    <w:multiLevelType w:val="hybridMultilevel"/>
    <w:tmpl w:val="1C5C5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4F320F"/>
    <w:multiLevelType w:val="hybridMultilevel"/>
    <w:tmpl w:val="29E479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04"/>
    <w:rsid w:val="00362004"/>
    <w:rsid w:val="00710915"/>
    <w:rsid w:val="00EF4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C6B8C-35D7-400F-A096-27E84048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Montaño Gonzalez</dc:creator>
  <cp:keywords/>
  <dc:description/>
  <cp:lastModifiedBy>Maria de Lourdes Montaño Gonzalez</cp:lastModifiedBy>
  <cp:revision>1</cp:revision>
  <dcterms:created xsi:type="dcterms:W3CDTF">2019-09-24T19:11:00Z</dcterms:created>
  <dcterms:modified xsi:type="dcterms:W3CDTF">2019-09-24T19:25:00Z</dcterms:modified>
</cp:coreProperties>
</file>